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6F" w:rsidRPr="003A40F5" w:rsidRDefault="0010606F" w:rsidP="0010606F">
      <w:pPr>
        <w:jc w:val="center"/>
        <w:rPr>
          <w:b/>
          <w:bCs/>
          <w:sz w:val="24"/>
          <w:szCs w:val="24"/>
        </w:rPr>
      </w:pPr>
      <w:bookmarkStart w:id="0" w:name="OLE_LINK1"/>
      <w:bookmarkStart w:id="1" w:name="OLE_LINK2"/>
      <w:r w:rsidRPr="003A40F5">
        <w:rPr>
          <w:b/>
          <w:bCs/>
          <w:sz w:val="24"/>
          <w:szCs w:val="24"/>
        </w:rPr>
        <w:t>Liman Public Interest Workshop</w:t>
      </w:r>
    </w:p>
    <w:p w:rsidR="0010606F" w:rsidRPr="003A40F5" w:rsidRDefault="0010606F" w:rsidP="0010606F">
      <w:pPr>
        <w:jc w:val="center"/>
        <w:rPr>
          <w:b/>
          <w:bCs/>
          <w:sz w:val="24"/>
          <w:szCs w:val="24"/>
        </w:rPr>
      </w:pPr>
      <w:r w:rsidRPr="003A40F5">
        <w:rPr>
          <w:b/>
          <w:bCs/>
          <w:sz w:val="24"/>
          <w:szCs w:val="24"/>
        </w:rPr>
        <w:t xml:space="preserve">Rationing Law: </w:t>
      </w:r>
      <w:r w:rsidRPr="003A40F5">
        <w:rPr>
          <w:b/>
          <w:bCs/>
          <w:sz w:val="24"/>
          <w:szCs w:val="24"/>
        </w:rPr>
        <w:br/>
        <w:t>Subsidizing Access to Justice in Democracies</w:t>
      </w:r>
    </w:p>
    <w:p w:rsidR="0010606F" w:rsidRPr="003A40F5" w:rsidRDefault="0010606F" w:rsidP="0010606F">
      <w:pPr>
        <w:jc w:val="center"/>
        <w:rPr>
          <w:b/>
          <w:bCs/>
          <w:sz w:val="24"/>
          <w:szCs w:val="24"/>
        </w:rPr>
      </w:pPr>
      <w:r w:rsidRPr="003A40F5">
        <w:rPr>
          <w:b/>
          <w:bCs/>
          <w:sz w:val="24"/>
          <w:szCs w:val="24"/>
        </w:rPr>
        <w:t>Spring 2015 Syllabus</w:t>
      </w:r>
    </w:p>
    <w:p w:rsidR="0010606F" w:rsidRPr="003A40F5" w:rsidRDefault="0010606F" w:rsidP="0010606F">
      <w:pPr>
        <w:jc w:val="center"/>
        <w:rPr>
          <w:b/>
          <w:bCs/>
          <w:sz w:val="24"/>
          <w:szCs w:val="24"/>
        </w:rPr>
      </w:pPr>
      <w:r w:rsidRPr="003A40F5">
        <w:rPr>
          <w:b/>
          <w:bCs/>
          <w:sz w:val="24"/>
          <w:szCs w:val="24"/>
        </w:rPr>
        <w:t xml:space="preserve">Mondays, 6:10-8 pm, </w:t>
      </w:r>
      <w:r w:rsidR="005C0E41" w:rsidRPr="003A40F5">
        <w:rPr>
          <w:b/>
          <w:bCs/>
          <w:sz w:val="24"/>
          <w:szCs w:val="24"/>
        </w:rPr>
        <w:t>R</w:t>
      </w:r>
      <w:r w:rsidRPr="003A40F5">
        <w:rPr>
          <w:b/>
          <w:bCs/>
          <w:sz w:val="24"/>
          <w:szCs w:val="24"/>
        </w:rPr>
        <w:t>oom 124</w:t>
      </w:r>
      <w:r w:rsidR="00392E0C">
        <w:rPr>
          <w:b/>
          <w:bCs/>
          <w:sz w:val="24"/>
          <w:szCs w:val="24"/>
        </w:rPr>
        <w:t>*(please note make-up class dates on 2/10 &amp; 2/25)</w:t>
      </w:r>
    </w:p>
    <w:p w:rsidR="000875F5" w:rsidRDefault="0010606F" w:rsidP="0010606F">
      <w:pPr>
        <w:spacing w:after="0" w:line="240" w:lineRule="auto"/>
        <w:jc w:val="center"/>
        <w:rPr>
          <w:bCs/>
          <w:sz w:val="24"/>
          <w:szCs w:val="24"/>
        </w:rPr>
      </w:pPr>
      <w:r w:rsidRPr="003A40F5">
        <w:rPr>
          <w:bCs/>
          <w:sz w:val="24"/>
          <w:szCs w:val="24"/>
        </w:rPr>
        <w:t xml:space="preserve">Johanna Kalb, </w:t>
      </w:r>
      <w:r w:rsidR="000875F5">
        <w:rPr>
          <w:bCs/>
          <w:sz w:val="24"/>
          <w:szCs w:val="24"/>
        </w:rPr>
        <w:t>Visiting Associate Professor,</w:t>
      </w:r>
    </w:p>
    <w:p w:rsidR="0010606F" w:rsidRDefault="0010606F" w:rsidP="0010606F">
      <w:pPr>
        <w:spacing w:after="0" w:line="240" w:lineRule="auto"/>
        <w:jc w:val="center"/>
        <w:rPr>
          <w:bCs/>
          <w:sz w:val="24"/>
          <w:szCs w:val="24"/>
        </w:rPr>
      </w:pPr>
      <w:r w:rsidRPr="003A40F5">
        <w:rPr>
          <w:bCs/>
          <w:sz w:val="24"/>
          <w:szCs w:val="24"/>
        </w:rPr>
        <w:t>Director, Liman Public Interest Program</w:t>
      </w:r>
      <w:r w:rsidRPr="003A40F5">
        <w:rPr>
          <w:bCs/>
          <w:sz w:val="24"/>
          <w:szCs w:val="24"/>
        </w:rPr>
        <w:br/>
        <w:t xml:space="preserve">Judith Resnik, Arthur Liman </w:t>
      </w:r>
      <w:r w:rsidR="00676225">
        <w:rPr>
          <w:bCs/>
          <w:sz w:val="24"/>
          <w:szCs w:val="24"/>
        </w:rPr>
        <w:t>Professor of Law</w:t>
      </w:r>
    </w:p>
    <w:p w:rsidR="00676225" w:rsidRPr="003A40F5" w:rsidRDefault="00676225" w:rsidP="00676225">
      <w:pPr>
        <w:spacing w:after="0" w:line="240" w:lineRule="auto"/>
        <w:rPr>
          <w:bCs/>
          <w:sz w:val="24"/>
          <w:szCs w:val="24"/>
        </w:rPr>
      </w:pPr>
    </w:p>
    <w:p w:rsidR="0010606F" w:rsidRPr="003A40F5" w:rsidRDefault="0010606F" w:rsidP="00676225">
      <w:pPr>
        <w:spacing w:after="0" w:line="240" w:lineRule="auto"/>
        <w:rPr>
          <w:bCs/>
          <w:sz w:val="24"/>
          <w:szCs w:val="24"/>
        </w:rPr>
      </w:pPr>
    </w:p>
    <w:p w:rsidR="0010606F" w:rsidRPr="003A40F5" w:rsidRDefault="0010606F" w:rsidP="0010606F">
      <w:pPr>
        <w:spacing w:after="0" w:line="240" w:lineRule="auto"/>
        <w:jc w:val="center"/>
        <w:rPr>
          <w:bCs/>
          <w:sz w:val="24"/>
          <w:szCs w:val="24"/>
        </w:rPr>
      </w:pPr>
      <w:r w:rsidRPr="003A40F5">
        <w:rPr>
          <w:bCs/>
          <w:sz w:val="24"/>
          <w:szCs w:val="24"/>
        </w:rPr>
        <w:t xml:space="preserve">Student </w:t>
      </w:r>
      <w:r w:rsidR="00844231" w:rsidRPr="003A40F5">
        <w:rPr>
          <w:bCs/>
          <w:sz w:val="24"/>
          <w:szCs w:val="24"/>
        </w:rPr>
        <w:t>Convene</w:t>
      </w:r>
      <w:r w:rsidRPr="003A40F5">
        <w:rPr>
          <w:bCs/>
          <w:sz w:val="24"/>
          <w:szCs w:val="24"/>
        </w:rPr>
        <w:t>rs:  Michael Clemente, Marcy Coburn, Cara McClellan, Geoff Shaw</w:t>
      </w:r>
    </w:p>
    <w:p w:rsidR="0010606F" w:rsidRPr="003A40F5" w:rsidRDefault="0010606F" w:rsidP="00676225">
      <w:pPr>
        <w:spacing w:after="0" w:line="240" w:lineRule="auto"/>
        <w:rPr>
          <w:bCs/>
          <w:sz w:val="24"/>
          <w:szCs w:val="24"/>
        </w:rPr>
      </w:pPr>
    </w:p>
    <w:p w:rsidR="0010606F" w:rsidRPr="003A40F5" w:rsidRDefault="0010606F" w:rsidP="0010606F">
      <w:pPr>
        <w:rPr>
          <w:b/>
          <w:bCs/>
          <w:sz w:val="24"/>
          <w:szCs w:val="24"/>
        </w:rPr>
      </w:pPr>
      <w:r w:rsidRPr="003A40F5">
        <w:rPr>
          <w:b/>
          <w:bCs/>
          <w:sz w:val="24"/>
          <w:szCs w:val="24"/>
        </w:rPr>
        <w:t>All readings available at http://www.law.yale.edu/intellectuallife/workshopsyllabus.htm</w:t>
      </w:r>
    </w:p>
    <w:p w:rsidR="00CE5E54" w:rsidRDefault="00F23B3F" w:rsidP="00B46834">
      <w:pPr>
        <w:spacing w:after="0" w:line="240" w:lineRule="auto"/>
        <w:ind w:firstLine="720"/>
        <w:jc w:val="both"/>
        <w:rPr>
          <w:sz w:val="24"/>
          <w:szCs w:val="24"/>
        </w:rPr>
      </w:pPr>
      <w:r>
        <w:rPr>
          <w:sz w:val="24"/>
          <w:szCs w:val="24"/>
        </w:rPr>
        <w:t xml:space="preserve">This workshop will consider allocations of the capacity to use law by pursuing or defending rights in courts. </w:t>
      </w:r>
      <w:r w:rsidR="0010606F" w:rsidRPr="003A40F5">
        <w:rPr>
          <w:sz w:val="24"/>
          <w:szCs w:val="24"/>
        </w:rPr>
        <w:t>In the United States and elsewhere, constitutional and statutory commitments to access to courts and enforcement of rights are being challenged by</w:t>
      </w:r>
      <w:r w:rsidR="00587CE3">
        <w:rPr>
          <w:sz w:val="24"/>
          <w:szCs w:val="24"/>
        </w:rPr>
        <w:t xml:space="preserve"> the</w:t>
      </w:r>
      <w:r w:rsidR="0010606F" w:rsidRPr="003A40F5">
        <w:rPr>
          <w:sz w:val="24"/>
          <w:szCs w:val="24"/>
        </w:rPr>
        <w:t xml:space="preserve"> high demand for </w:t>
      </w:r>
      <w:r w:rsidR="00CE5E54">
        <w:rPr>
          <w:sz w:val="24"/>
          <w:szCs w:val="24"/>
        </w:rPr>
        <w:t xml:space="preserve">civil legal </w:t>
      </w:r>
      <w:r w:rsidR="0010606F" w:rsidRPr="003A40F5">
        <w:rPr>
          <w:sz w:val="24"/>
          <w:szCs w:val="24"/>
        </w:rPr>
        <w:t xml:space="preserve">services, high arrest and detention rates, </w:t>
      </w:r>
      <w:r w:rsidR="0007559E">
        <w:rPr>
          <w:sz w:val="24"/>
          <w:szCs w:val="24"/>
        </w:rPr>
        <w:t>declining government budgets, and shifting ideologies about the utility and desirability of using courts.</w:t>
      </w:r>
    </w:p>
    <w:p w:rsidR="00CE5E54" w:rsidRDefault="00CE5E54" w:rsidP="00676225">
      <w:pPr>
        <w:spacing w:after="0" w:line="240" w:lineRule="auto"/>
        <w:jc w:val="both"/>
        <w:rPr>
          <w:sz w:val="24"/>
          <w:szCs w:val="24"/>
        </w:rPr>
      </w:pPr>
    </w:p>
    <w:p w:rsidR="00EC4CD0" w:rsidRDefault="0010606F" w:rsidP="00B46834">
      <w:pPr>
        <w:spacing w:after="0" w:line="240" w:lineRule="auto"/>
        <w:ind w:firstLine="720"/>
        <w:jc w:val="both"/>
        <w:rPr>
          <w:sz w:val="24"/>
          <w:szCs w:val="24"/>
        </w:rPr>
      </w:pPr>
      <w:r w:rsidRPr="003A40F5">
        <w:rPr>
          <w:sz w:val="24"/>
          <w:szCs w:val="24"/>
        </w:rPr>
        <w:t>Our topics and questions address two kinds of access</w:t>
      </w:r>
      <w:r w:rsidR="00513DD2">
        <w:rPr>
          <w:sz w:val="24"/>
          <w:szCs w:val="24"/>
        </w:rPr>
        <w:t xml:space="preserve"> </w:t>
      </w:r>
      <w:r w:rsidR="00B27BBE">
        <w:rPr>
          <w:sz w:val="24"/>
          <w:szCs w:val="24"/>
        </w:rPr>
        <w:t>–</w:t>
      </w:r>
      <w:r w:rsidRPr="003A40F5">
        <w:rPr>
          <w:sz w:val="24"/>
          <w:szCs w:val="24"/>
        </w:rPr>
        <w:t xml:space="preserve"> of litigants to use</w:t>
      </w:r>
      <w:r w:rsidR="0007559E">
        <w:rPr>
          <w:sz w:val="24"/>
          <w:szCs w:val="24"/>
        </w:rPr>
        <w:t xml:space="preserve"> whatever systems are provided </w:t>
      </w:r>
      <w:r w:rsidRPr="003A40F5">
        <w:rPr>
          <w:sz w:val="24"/>
          <w:szCs w:val="24"/>
        </w:rPr>
        <w:t xml:space="preserve">and of the public to know about the processes and outcomes of the judgments rendered. Our plan is to examine </w:t>
      </w:r>
      <w:r w:rsidR="00CE5E54">
        <w:rPr>
          <w:sz w:val="24"/>
          <w:szCs w:val="24"/>
        </w:rPr>
        <w:t>wh</w:t>
      </w:r>
      <w:r w:rsidR="0007559E">
        <w:rPr>
          <w:sz w:val="24"/>
          <w:szCs w:val="24"/>
        </w:rPr>
        <w:t xml:space="preserve">en, why, </w:t>
      </w:r>
      <w:r w:rsidR="00CE5E54">
        <w:rPr>
          <w:sz w:val="24"/>
          <w:szCs w:val="24"/>
        </w:rPr>
        <w:t xml:space="preserve">and how courts and lawyers </w:t>
      </w:r>
      <w:r w:rsidR="0007559E">
        <w:rPr>
          <w:sz w:val="24"/>
          <w:szCs w:val="24"/>
        </w:rPr>
        <w:t>are</w:t>
      </w:r>
      <w:r w:rsidR="00CE5E54">
        <w:rPr>
          <w:sz w:val="24"/>
          <w:szCs w:val="24"/>
        </w:rPr>
        <w:t xml:space="preserve"> conceived </w:t>
      </w:r>
      <w:r w:rsidR="0007559E">
        <w:rPr>
          <w:sz w:val="24"/>
          <w:szCs w:val="24"/>
        </w:rPr>
        <w:t xml:space="preserve">to be </w:t>
      </w:r>
      <w:r w:rsidR="00CE5E54">
        <w:rPr>
          <w:sz w:val="24"/>
          <w:szCs w:val="24"/>
        </w:rPr>
        <w:t>“rights</w:t>
      </w:r>
      <w:r w:rsidR="009026B8">
        <w:rPr>
          <w:sz w:val="24"/>
          <w:szCs w:val="24"/>
        </w:rPr>
        <w:t>”</w:t>
      </w:r>
      <w:r w:rsidR="00CE5E54">
        <w:rPr>
          <w:sz w:val="24"/>
          <w:szCs w:val="24"/>
        </w:rPr>
        <w:t xml:space="preserve"> </w:t>
      </w:r>
      <w:r w:rsidR="0007559E">
        <w:rPr>
          <w:sz w:val="24"/>
          <w:szCs w:val="24"/>
        </w:rPr>
        <w:t>and the implications of th</w:t>
      </w:r>
      <w:r w:rsidR="00F23B3F">
        <w:rPr>
          <w:sz w:val="24"/>
          <w:szCs w:val="24"/>
        </w:rPr>
        <w:t xml:space="preserve">ose ideas </w:t>
      </w:r>
      <w:r w:rsidR="0007559E">
        <w:rPr>
          <w:sz w:val="24"/>
          <w:szCs w:val="24"/>
        </w:rPr>
        <w:t>in terms of public obligations to provide funding.</w:t>
      </w:r>
      <w:r w:rsidR="00B27BBE">
        <w:rPr>
          <w:sz w:val="24"/>
          <w:szCs w:val="24"/>
        </w:rPr>
        <w:t xml:space="preserve"> </w:t>
      </w:r>
      <w:r w:rsidR="00F23B3F">
        <w:rPr>
          <w:sz w:val="24"/>
          <w:szCs w:val="24"/>
        </w:rPr>
        <w:t xml:space="preserve"> We </w:t>
      </w:r>
      <w:r w:rsidR="00CE5E54">
        <w:rPr>
          <w:sz w:val="24"/>
          <w:szCs w:val="24"/>
        </w:rPr>
        <w:t xml:space="preserve">will consider the financing of </w:t>
      </w:r>
      <w:r w:rsidRPr="003A40F5">
        <w:rPr>
          <w:sz w:val="24"/>
          <w:szCs w:val="24"/>
        </w:rPr>
        <w:t>courts, litigants, and criminal justice detention; sources of the demand for civil and criminal litigation; and claims of "litigiousness," "over-criminalization," and "excessive" punishment.  </w:t>
      </w:r>
      <w:r w:rsidR="0007559E">
        <w:rPr>
          <w:sz w:val="24"/>
          <w:szCs w:val="24"/>
        </w:rPr>
        <w:t xml:space="preserve">At </w:t>
      </w:r>
      <w:r w:rsidR="0023407C">
        <w:rPr>
          <w:sz w:val="24"/>
          <w:szCs w:val="24"/>
        </w:rPr>
        <w:t>times</w:t>
      </w:r>
      <w:r w:rsidR="0007559E">
        <w:rPr>
          <w:sz w:val="24"/>
          <w:szCs w:val="24"/>
        </w:rPr>
        <w:t>, our lens will be</w:t>
      </w:r>
      <w:r w:rsidR="0023407C">
        <w:rPr>
          <w:sz w:val="24"/>
          <w:szCs w:val="24"/>
        </w:rPr>
        <w:t xml:space="preserve"> comparative</w:t>
      </w:r>
      <w:r w:rsidR="00EC4CD0">
        <w:rPr>
          <w:sz w:val="24"/>
          <w:szCs w:val="24"/>
        </w:rPr>
        <w:t>,</w:t>
      </w:r>
      <w:r w:rsidR="00F23B3F">
        <w:rPr>
          <w:sz w:val="24"/>
          <w:szCs w:val="24"/>
        </w:rPr>
        <w:t xml:space="preserve"> as we </w:t>
      </w:r>
      <w:r w:rsidR="00A20357">
        <w:rPr>
          <w:sz w:val="24"/>
          <w:szCs w:val="24"/>
        </w:rPr>
        <w:t>consider other jurisdictions’ views on</w:t>
      </w:r>
      <w:r w:rsidR="00EC4CD0">
        <w:rPr>
          <w:sz w:val="24"/>
          <w:szCs w:val="24"/>
        </w:rPr>
        <w:t xml:space="preserve"> the </w:t>
      </w:r>
      <w:r w:rsidR="0007559E">
        <w:rPr>
          <w:sz w:val="24"/>
          <w:szCs w:val="24"/>
        </w:rPr>
        <w:t>obligations to</w:t>
      </w:r>
      <w:r w:rsidR="00823E34">
        <w:rPr>
          <w:sz w:val="24"/>
          <w:szCs w:val="24"/>
        </w:rPr>
        <w:t xml:space="preserve"> provide </w:t>
      </w:r>
      <w:r w:rsidRPr="003A40F5">
        <w:rPr>
          <w:sz w:val="24"/>
          <w:szCs w:val="24"/>
        </w:rPr>
        <w:t xml:space="preserve">subsidies for civil and criminal litigants </w:t>
      </w:r>
      <w:r w:rsidR="00F23B3F">
        <w:rPr>
          <w:sz w:val="24"/>
          <w:szCs w:val="24"/>
        </w:rPr>
        <w:t xml:space="preserve">so as to protect </w:t>
      </w:r>
      <w:r w:rsidR="00EC4CD0">
        <w:rPr>
          <w:sz w:val="24"/>
          <w:szCs w:val="24"/>
        </w:rPr>
        <w:t xml:space="preserve">rights to </w:t>
      </w:r>
      <w:r w:rsidR="00F23B3F">
        <w:rPr>
          <w:sz w:val="24"/>
          <w:szCs w:val="24"/>
        </w:rPr>
        <w:t xml:space="preserve">“justice” and to </w:t>
      </w:r>
      <w:r w:rsidR="00EC4CD0">
        <w:rPr>
          <w:sz w:val="24"/>
          <w:szCs w:val="24"/>
        </w:rPr>
        <w:t>“</w:t>
      </w:r>
      <w:r w:rsidR="00B27BBE">
        <w:rPr>
          <w:sz w:val="24"/>
          <w:szCs w:val="24"/>
        </w:rPr>
        <w:t>effective judicial remedies.”</w:t>
      </w:r>
    </w:p>
    <w:p w:rsidR="00EC4CD0" w:rsidRDefault="00EC4CD0" w:rsidP="00676225">
      <w:pPr>
        <w:spacing w:after="0" w:line="240" w:lineRule="auto"/>
        <w:jc w:val="both"/>
        <w:rPr>
          <w:sz w:val="24"/>
          <w:szCs w:val="24"/>
        </w:rPr>
      </w:pPr>
    </w:p>
    <w:p w:rsidR="00EC4CD0" w:rsidRDefault="00EC4CD0" w:rsidP="00B46834">
      <w:pPr>
        <w:spacing w:after="0" w:line="240" w:lineRule="auto"/>
        <w:ind w:firstLine="720"/>
        <w:jc w:val="both"/>
        <w:rPr>
          <w:sz w:val="24"/>
          <w:szCs w:val="24"/>
        </w:rPr>
      </w:pPr>
      <w:r>
        <w:rPr>
          <w:sz w:val="24"/>
          <w:szCs w:val="24"/>
        </w:rPr>
        <w:t>We will also consider</w:t>
      </w:r>
      <w:r w:rsidR="00F23B3F">
        <w:rPr>
          <w:sz w:val="24"/>
          <w:szCs w:val="24"/>
        </w:rPr>
        <w:t xml:space="preserve"> the debates about what </w:t>
      </w:r>
      <w:r>
        <w:rPr>
          <w:sz w:val="24"/>
          <w:szCs w:val="24"/>
        </w:rPr>
        <w:t xml:space="preserve"> “access to justice” </w:t>
      </w:r>
      <w:r w:rsidR="00F23B3F">
        <w:rPr>
          <w:sz w:val="24"/>
          <w:szCs w:val="24"/>
        </w:rPr>
        <w:t>and</w:t>
      </w:r>
      <w:r>
        <w:rPr>
          <w:sz w:val="24"/>
          <w:szCs w:val="24"/>
        </w:rPr>
        <w:t xml:space="preserve"> </w:t>
      </w:r>
      <w:r w:rsidR="0010606F" w:rsidRPr="003A40F5">
        <w:rPr>
          <w:sz w:val="24"/>
          <w:szCs w:val="24"/>
        </w:rPr>
        <w:t xml:space="preserve">“paths to justice” </w:t>
      </w:r>
      <w:r w:rsidR="00F23B3F">
        <w:rPr>
          <w:sz w:val="24"/>
          <w:szCs w:val="24"/>
        </w:rPr>
        <w:t xml:space="preserve">mean, as some </w:t>
      </w:r>
      <w:r w:rsidR="0010606F" w:rsidRPr="003A40F5">
        <w:rPr>
          <w:sz w:val="24"/>
          <w:szCs w:val="24"/>
        </w:rPr>
        <w:t xml:space="preserve">focus on </w:t>
      </w:r>
      <w:r w:rsidR="007103EA">
        <w:rPr>
          <w:sz w:val="24"/>
          <w:szCs w:val="24"/>
        </w:rPr>
        <w:t xml:space="preserve">expanding access to </w:t>
      </w:r>
      <w:r w:rsidR="0010606F" w:rsidRPr="003A40F5">
        <w:rPr>
          <w:sz w:val="24"/>
          <w:szCs w:val="24"/>
        </w:rPr>
        <w:t>lawyers and courts</w:t>
      </w:r>
      <w:r w:rsidR="00F23B3F">
        <w:rPr>
          <w:sz w:val="24"/>
          <w:szCs w:val="24"/>
        </w:rPr>
        <w:t xml:space="preserve"> in adversarial exchanges, and others promote </w:t>
      </w:r>
      <w:r>
        <w:rPr>
          <w:sz w:val="24"/>
          <w:szCs w:val="24"/>
        </w:rPr>
        <w:t>alternative procedures such as arbitration and mediation</w:t>
      </w:r>
      <w:r w:rsidR="00F23B3F">
        <w:rPr>
          <w:sz w:val="24"/>
          <w:szCs w:val="24"/>
        </w:rPr>
        <w:t xml:space="preserve">, that are often </w:t>
      </w:r>
      <w:r>
        <w:rPr>
          <w:sz w:val="24"/>
          <w:szCs w:val="24"/>
        </w:rPr>
        <w:t>more informal and less public</w:t>
      </w:r>
      <w:r w:rsidR="00F23B3F">
        <w:rPr>
          <w:sz w:val="24"/>
          <w:szCs w:val="24"/>
        </w:rPr>
        <w:t xml:space="preserve">.  Examples of reform efforts include </w:t>
      </w:r>
      <w:r w:rsidR="0010606F" w:rsidRPr="003A40F5">
        <w:rPr>
          <w:sz w:val="24"/>
          <w:szCs w:val="24"/>
        </w:rPr>
        <w:t>remodel</w:t>
      </w:r>
      <w:r w:rsidR="00F23B3F">
        <w:rPr>
          <w:sz w:val="24"/>
          <w:szCs w:val="24"/>
        </w:rPr>
        <w:t>ing</w:t>
      </w:r>
      <w:r>
        <w:rPr>
          <w:sz w:val="24"/>
          <w:szCs w:val="24"/>
        </w:rPr>
        <w:t xml:space="preserve"> </w:t>
      </w:r>
      <w:r w:rsidR="0010606F" w:rsidRPr="003A40F5">
        <w:rPr>
          <w:sz w:val="24"/>
          <w:szCs w:val="24"/>
        </w:rPr>
        <w:t xml:space="preserve">courts </w:t>
      </w:r>
      <w:r w:rsidR="0023407C">
        <w:rPr>
          <w:sz w:val="24"/>
          <w:szCs w:val="24"/>
        </w:rPr>
        <w:t xml:space="preserve">as “problem solvers” </w:t>
      </w:r>
      <w:r w:rsidR="00F23B3F">
        <w:rPr>
          <w:sz w:val="24"/>
          <w:szCs w:val="24"/>
        </w:rPr>
        <w:t xml:space="preserve">– able to tailor their </w:t>
      </w:r>
      <w:r>
        <w:rPr>
          <w:sz w:val="24"/>
          <w:szCs w:val="24"/>
        </w:rPr>
        <w:t>methods</w:t>
      </w:r>
      <w:r w:rsidR="00F23B3F">
        <w:rPr>
          <w:sz w:val="24"/>
          <w:szCs w:val="24"/>
        </w:rPr>
        <w:t xml:space="preserve"> (for example, </w:t>
      </w:r>
      <w:r w:rsidR="0010606F" w:rsidRPr="003A40F5">
        <w:rPr>
          <w:sz w:val="24"/>
          <w:szCs w:val="24"/>
        </w:rPr>
        <w:t>veterans,</w:t>
      </w:r>
      <w:r w:rsidR="00F23B3F">
        <w:rPr>
          <w:sz w:val="24"/>
          <w:szCs w:val="24"/>
        </w:rPr>
        <w:t xml:space="preserve"> </w:t>
      </w:r>
      <w:r w:rsidR="0010606F" w:rsidRPr="003A40F5">
        <w:rPr>
          <w:sz w:val="24"/>
          <w:szCs w:val="24"/>
        </w:rPr>
        <w:t xml:space="preserve">mental health, drug, reentry, </w:t>
      </w:r>
      <w:r w:rsidR="00F23B3F">
        <w:rPr>
          <w:sz w:val="24"/>
          <w:szCs w:val="24"/>
        </w:rPr>
        <w:t xml:space="preserve">girls, </w:t>
      </w:r>
      <w:r w:rsidR="0010606F" w:rsidRPr="003A40F5">
        <w:rPr>
          <w:sz w:val="24"/>
          <w:szCs w:val="24"/>
        </w:rPr>
        <w:t xml:space="preserve">family, </w:t>
      </w:r>
      <w:r w:rsidR="00F23B3F">
        <w:rPr>
          <w:sz w:val="24"/>
          <w:szCs w:val="24"/>
        </w:rPr>
        <w:t xml:space="preserve">and </w:t>
      </w:r>
      <w:r w:rsidR="0010606F" w:rsidRPr="003A40F5">
        <w:rPr>
          <w:sz w:val="24"/>
          <w:szCs w:val="24"/>
        </w:rPr>
        <w:t>business</w:t>
      </w:r>
      <w:r w:rsidR="00F23B3F">
        <w:rPr>
          <w:sz w:val="24"/>
          <w:szCs w:val="24"/>
        </w:rPr>
        <w:t xml:space="preserve"> courts).</w:t>
      </w:r>
      <w:r>
        <w:rPr>
          <w:sz w:val="24"/>
          <w:szCs w:val="24"/>
        </w:rPr>
        <w:t xml:space="preserve">  </w:t>
      </w:r>
      <w:r w:rsidR="00F23B3F">
        <w:rPr>
          <w:sz w:val="24"/>
          <w:szCs w:val="24"/>
        </w:rPr>
        <w:t xml:space="preserve">Another set of questions relate to how these innovations comply with or depart from constitutional </w:t>
      </w:r>
      <w:r w:rsidR="0010606F" w:rsidRPr="003A40F5">
        <w:rPr>
          <w:sz w:val="24"/>
          <w:szCs w:val="24"/>
        </w:rPr>
        <w:t xml:space="preserve">obligations of </w:t>
      </w:r>
      <w:r w:rsidR="00F23B3F">
        <w:rPr>
          <w:sz w:val="24"/>
          <w:szCs w:val="24"/>
        </w:rPr>
        <w:t xml:space="preserve">“due process” and of </w:t>
      </w:r>
      <w:r w:rsidR="0010606F" w:rsidRPr="003A40F5">
        <w:rPr>
          <w:sz w:val="24"/>
          <w:szCs w:val="24"/>
        </w:rPr>
        <w:t>"open courts</w:t>
      </w:r>
      <w:r w:rsidR="00F23B3F">
        <w:rPr>
          <w:sz w:val="24"/>
          <w:szCs w:val="24"/>
        </w:rPr>
        <w:t>,</w:t>
      </w:r>
      <w:r w:rsidR="0010606F" w:rsidRPr="003A40F5">
        <w:rPr>
          <w:sz w:val="24"/>
          <w:szCs w:val="24"/>
        </w:rPr>
        <w:t xml:space="preserve">" </w:t>
      </w:r>
      <w:r w:rsidR="00F23B3F">
        <w:rPr>
          <w:sz w:val="24"/>
          <w:szCs w:val="24"/>
        </w:rPr>
        <w:t>admitting outside</w:t>
      </w:r>
      <w:r w:rsidR="00B27BBE">
        <w:rPr>
          <w:sz w:val="24"/>
          <w:szCs w:val="24"/>
        </w:rPr>
        <w:t>rs to observe the interactions.</w:t>
      </w:r>
    </w:p>
    <w:p w:rsidR="00F23B3F" w:rsidRDefault="00F23B3F" w:rsidP="00676225">
      <w:pPr>
        <w:spacing w:after="0" w:line="240" w:lineRule="auto"/>
        <w:jc w:val="both"/>
        <w:rPr>
          <w:sz w:val="24"/>
          <w:szCs w:val="24"/>
        </w:rPr>
      </w:pPr>
    </w:p>
    <w:p w:rsidR="0010606F" w:rsidRPr="003A40F5" w:rsidRDefault="00EC4CD0" w:rsidP="00B46834">
      <w:pPr>
        <w:spacing w:after="0" w:line="240" w:lineRule="auto"/>
        <w:ind w:firstLine="720"/>
        <w:jc w:val="both"/>
        <w:rPr>
          <w:sz w:val="24"/>
          <w:szCs w:val="24"/>
        </w:rPr>
      </w:pPr>
      <w:r>
        <w:rPr>
          <w:sz w:val="24"/>
          <w:szCs w:val="24"/>
        </w:rPr>
        <w:lastRenderedPageBreak/>
        <w:t>T</w:t>
      </w:r>
      <w:r w:rsidR="0007559E">
        <w:rPr>
          <w:sz w:val="24"/>
          <w:szCs w:val="24"/>
        </w:rPr>
        <w:t xml:space="preserve">he readings </w:t>
      </w:r>
      <w:r>
        <w:rPr>
          <w:sz w:val="24"/>
          <w:szCs w:val="24"/>
        </w:rPr>
        <w:t xml:space="preserve">draw on materials from </w:t>
      </w:r>
      <w:r w:rsidR="0010606F" w:rsidRPr="003A40F5">
        <w:rPr>
          <w:sz w:val="24"/>
          <w:szCs w:val="24"/>
        </w:rPr>
        <w:t>state and federal, domestic and transnational, civil and criminal, and administrative and judicial proceedings. Throughout, we will look at how social and political movements</w:t>
      </w:r>
      <w:r>
        <w:rPr>
          <w:sz w:val="24"/>
          <w:szCs w:val="24"/>
        </w:rPr>
        <w:t xml:space="preserve"> and race, gender, ethnicity, and </w:t>
      </w:r>
      <w:r w:rsidR="007B62E8">
        <w:rPr>
          <w:sz w:val="24"/>
          <w:szCs w:val="24"/>
        </w:rPr>
        <w:t xml:space="preserve">class </w:t>
      </w:r>
      <w:r w:rsidR="007B62E8" w:rsidRPr="003A40F5">
        <w:rPr>
          <w:sz w:val="24"/>
          <w:szCs w:val="24"/>
        </w:rPr>
        <w:t>affect</w:t>
      </w:r>
      <w:r w:rsidR="0010606F" w:rsidRPr="003A40F5">
        <w:rPr>
          <w:sz w:val="24"/>
          <w:szCs w:val="24"/>
        </w:rPr>
        <w:t xml:space="preserve"> our understandings of what constitutes fairness and justice</w:t>
      </w:r>
      <w:r w:rsidR="0023407C">
        <w:rPr>
          <w:sz w:val="24"/>
          <w:szCs w:val="24"/>
        </w:rPr>
        <w:t xml:space="preserve"> in fashioning systems to respond to claims of injury</w:t>
      </w:r>
      <w:r w:rsidR="0010606F" w:rsidRPr="003A40F5">
        <w:rPr>
          <w:sz w:val="24"/>
          <w:szCs w:val="24"/>
        </w:rPr>
        <w:t>.</w:t>
      </w:r>
    </w:p>
    <w:p w:rsidR="00B46834" w:rsidRPr="003A40F5" w:rsidRDefault="00B46834" w:rsidP="00676225">
      <w:pPr>
        <w:spacing w:after="0" w:line="240" w:lineRule="auto"/>
        <w:jc w:val="both"/>
        <w:rPr>
          <w:sz w:val="24"/>
          <w:szCs w:val="24"/>
        </w:rPr>
      </w:pPr>
    </w:p>
    <w:p w:rsidR="0023407C" w:rsidRDefault="0010606F" w:rsidP="00B46834">
      <w:pPr>
        <w:spacing w:after="0" w:line="240" w:lineRule="auto"/>
        <w:ind w:firstLine="720"/>
        <w:jc w:val="both"/>
        <w:rPr>
          <w:sz w:val="24"/>
          <w:szCs w:val="24"/>
        </w:rPr>
      </w:pPr>
      <w:r w:rsidRPr="003A40F5">
        <w:rPr>
          <w:sz w:val="24"/>
          <w:szCs w:val="24"/>
        </w:rPr>
        <w:t>Students participatin</w:t>
      </w:r>
      <w:r w:rsidR="00B27BBE">
        <w:rPr>
          <w:sz w:val="24"/>
          <w:szCs w:val="24"/>
        </w:rPr>
        <w:t>g in the Workshop will receive two</w:t>
      </w:r>
      <w:r w:rsidRPr="003A40F5">
        <w:rPr>
          <w:sz w:val="24"/>
          <w:szCs w:val="24"/>
        </w:rPr>
        <w:t xml:space="preserve"> units of credit. </w:t>
      </w:r>
      <w:r w:rsidR="0023407C" w:rsidRPr="003A40F5">
        <w:rPr>
          <w:sz w:val="24"/>
          <w:szCs w:val="24"/>
        </w:rPr>
        <w:t>We meet weekly; preparation and attendance at these discussions is required for credit</w:t>
      </w:r>
      <w:r w:rsidR="00F23B3F">
        <w:rPr>
          <w:sz w:val="24"/>
          <w:szCs w:val="24"/>
        </w:rPr>
        <w:t>.</w:t>
      </w:r>
      <w:r w:rsidR="0023407C" w:rsidRPr="003A40F5">
        <w:rPr>
          <w:sz w:val="24"/>
          <w:szCs w:val="24"/>
        </w:rPr>
        <w:t xml:space="preserve"> </w:t>
      </w:r>
      <w:r w:rsidR="00010516">
        <w:rPr>
          <w:sz w:val="24"/>
          <w:szCs w:val="24"/>
        </w:rPr>
        <w:t xml:space="preserve"> </w:t>
      </w:r>
      <w:r w:rsidR="00611805">
        <w:rPr>
          <w:sz w:val="24"/>
          <w:szCs w:val="24"/>
        </w:rPr>
        <w:t xml:space="preserve">We have excerpted many of the readings, and we </w:t>
      </w:r>
      <w:r w:rsidR="00010516">
        <w:rPr>
          <w:sz w:val="24"/>
          <w:szCs w:val="24"/>
        </w:rPr>
        <w:t xml:space="preserve">will provide directions in class for which readings are required and </w:t>
      </w:r>
      <w:r w:rsidR="00611805">
        <w:rPr>
          <w:sz w:val="24"/>
          <w:szCs w:val="24"/>
        </w:rPr>
        <w:t xml:space="preserve">which </w:t>
      </w:r>
      <w:r w:rsidR="00010516">
        <w:rPr>
          <w:sz w:val="24"/>
          <w:szCs w:val="24"/>
        </w:rPr>
        <w:t xml:space="preserve">are optional. </w:t>
      </w:r>
      <w:r w:rsidR="0023407C" w:rsidRPr="003A40F5">
        <w:rPr>
          <w:sz w:val="24"/>
          <w:szCs w:val="24"/>
        </w:rPr>
        <w:t>If you need to miss a class, please be in touch with the professors in advance of the meeting.  Students missing more than two sessions without permission will not receive credit.</w:t>
      </w:r>
    </w:p>
    <w:p w:rsidR="0023407C" w:rsidRDefault="0023407C" w:rsidP="00676225">
      <w:pPr>
        <w:spacing w:after="0" w:line="240" w:lineRule="auto"/>
        <w:jc w:val="both"/>
        <w:rPr>
          <w:sz w:val="24"/>
          <w:szCs w:val="24"/>
        </w:rPr>
      </w:pPr>
    </w:p>
    <w:p w:rsidR="0023407C" w:rsidRDefault="00F23B3F" w:rsidP="00B46834">
      <w:pPr>
        <w:spacing w:after="0" w:line="240" w:lineRule="auto"/>
        <w:ind w:firstLine="720"/>
        <w:jc w:val="both"/>
        <w:rPr>
          <w:sz w:val="24"/>
          <w:szCs w:val="24"/>
        </w:rPr>
      </w:pPr>
      <w:r>
        <w:rPr>
          <w:sz w:val="24"/>
          <w:szCs w:val="24"/>
        </w:rPr>
        <w:t>Further, a</w:t>
      </w:r>
      <w:r w:rsidR="0023407C">
        <w:rPr>
          <w:sz w:val="24"/>
          <w:szCs w:val="24"/>
        </w:rPr>
        <w:t>ll</w:t>
      </w:r>
      <w:r w:rsidR="0010606F" w:rsidRPr="003A40F5">
        <w:rPr>
          <w:sz w:val="24"/>
          <w:szCs w:val="24"/>
        </w:rPr>
        <w:t xml:space="preserve"> students participating credit/fail must </w:t>
      </w:r>
      <w:r w:rsidR="0023407C">
        <w:rPr>
          <w:sz w:val="24"/>
          <w:szCs w:val="24"/>
        </w:rPr>
        <w:t>choose f</w:t>
      </w:r>
      <w:r w:rsidR="009026B8">
        <w:rPr>
          <w:sz w:val="24"/>
          <w:szCs w:val="24"/>
        </w:rPr>
        <w:t>our</w:t>
      </w:r>
      <w:r w:rsidR="0023407C">
        <w:rPr>
          <w:sz w:val="24"/>
          <w:szCs w:val="24"/>
        </w:rPr>
        <w:t xml:space="preserve"> times during the semester after the first two sessions to submit </w:t>
      </w:r>
      <w:r w:rsidR="007B4D4C">
        <w:rPr>
          <w:sz w:val="24"/>
          <w:szCs w:val="24"/>
        </w:rPr>
        <w:t>two</w:t>
      </w:r>
      <w:r w:rsidR="0010606F" w:rsidRPr="003A40F5">
        <w:rPr>
          <w:sz w:val="24"/>
          <w:szCs w:val="24"/>
        </w:rPr>
        <w:t xml:space="preserve">-page reflections </w:t>
      </w:r>
      <w:r w:rsidR="007B4D4C">
        <w:rPr>
          <w:sz w:val="24"/>
          <w:szCs w:val="24"/>
        </w:rPr>
        <w:t>(double-</w:t>
      </w:r>
      <w:r w:rsidR="0023407C">
        <w:rPr>
          <w:sz w:val="24"/>
          <w:szCs w:val="24"/>
        </w:rPr>
        <w:t>spaced, size 12 font) that offer comments on that week’s readings.</w:t>
      </w:r>
      <w:r w:rsidR="0010606F" w:rsidRPr="003A40F5">
        <w:rPr>
          <w:sz w:val="24"/>
          <w:szCs w:val="24"/>
        </w:rPr>
        <w:t xml:space="preserve"> Students must post their reflections on “Inside Yale” NO LATER than 9 a.m. on the Monday mornings of the workshop, and should also circulate them via email to the instructors </w:t>
      </w:r>
      <w:r w:rsidR="00F56AB6">
        <w:rPr>
          <w:sz w:val="24"/>
          <w:szCs w:val="24"/>
        </w:rPr>
        <w:t>(</w:t>
      </w:r>
      <w:hyperlink r:id="rId11" w:history="1">
        <w:r w:rsidR="00F56AB6" w:rsidRPr="00A47A49">
          <w:rPr>
            <w:rStyle w:val="Hyperlink"/>
            <w:rFonts w:cs="Calibri"/>
            <w:sz w:val="24"/>
            <w:szCs w:val="24"/>
          </w:rPr>
          <w:t>judith.resnik@yale.edu</w:t>
        </w:r>
      </w:hyperlink>
      <w:r w:rsidR="00F56AB6">
        <w:rPr>
          <w:sz w:val="24"/>
          <w:szCs w:val="24"/>
        </w:rPr>
        <w:t xml:space="preserve"> and </w:t>
      </w:r>
      <w:hyperlink r:id="rId12" w:history="1">
        <w:r w:rsidR="00F56AB6" w:rsidRPr="00A47A49">
          <w:rPr>
            <w:rStyle w:val="Hyperlink"/>
            <w:rFonts w:cs="Calibri"/>
            <w:sz w:val="24"/>
            <w:szCs w:val="24"/>
          </w:rPr>
          <w:t>johanna.kalb@yale.edu</w:t>
        </w:r>
      </w:hyperlink>
      <w:r w:rsidR="00F56AB6">
        <w:rPr>
          <w:sz w:val="24"/>
          <w:szCs w:val="24"/>
        </w:rPr>
        <w:t xml:space="preserve">) </w:t>
      </w:r>
      <w:r w:rsidR="0010606F" w:rsidRPr="003A40F5">
        <w:rPr>
          <w:sz w:val="24"/>
          <w:szCs w:val="24"/>
        </w:rPr>
        <w:t xml:space="preserve">as well as </w:t>
      </w:r>
      <w:r w:rsidR="00B27BBE">
        <w:rPr>
          <w:sz w:val="24"/>
          <w:szCs w:val="24"/>
        </w:rPr>
        <w:t xml:space="preserve">to </w:t>
      </w:r>
      <w:r w:rsidR="00F56AB6">
        <w:rPr>
          <w:sz w:val="24"/>
          <w:szCs w:val="24"/>
        </w:rPr>
        <w:t>Kathi</w:t>
      </w:r>
      <w:r w:rsidR="0010606F" w:rsidRPr="003A40F5">
        <w:rPr>
          <w:sz w:val="24"/>
          <w:szCs w:val="24"/>
        </w:rPr>
        <w:t xml:space="preserve"> Lawton</w:t>
      </w:r>
      <w:r w:rsidR="00F56AB6">
        <w:rPr>
          <w:sz w:val="24"/>
          <w:szCs w:val="24"/>
        </w:rPr>
        <w:t xml:space="preserve"> (</w:t>
      </w:r>
      <w:hyperlink r:id="rId13" w:history="1">
        <w:r w:rsidR="00F56AB6" w:rsidRPr="00A47A49">
          <w:rPr>
            <w:rStyle w:val="Hyperlink"/>
            <w:rFonts w:cs="Calibri"/>
            <w:sz w:val="24"/>
            <w:szCs w:val="24"/>
          </w:rPr>
          <w:t>katherine.lawton@yale.edu</w:t>
        </w:r>
      </w:hyperlink>
      <w:r w:rsidR="00F56AB6">
        <w:rPr>
          <w:sz w:val="24"/>
          <w:szCs w:val="24"/>
        </w:rPr>
        <w:t>)</w:t>
      </w:r>
      <w:r w:rsidR="0010606F" w:rsidRPr="003A40F5">
        <w:rPr>
          <w:sz w:val="24"/>
          <w:szCs w:val="24"/>
        </w:rPr>
        <w:t xml:space="preserve">. </w:t>
      </w:r>
      <w:r w:rsidR="0023407C">
        <w:rPr>
          <w:sz w:val="24"/>
          <w:szCs w:val="24"/>
        </w:rPr>
        <w:t xml:space="preserve"> Students who do not complete these requirements during the semester will </w:t>
      </w:r>
      <w:r w:rsidR="0023407C" w:rsidRPr="003B363C">
        <w:rPr>
          <w:b/>
          <w:sz w:val="24"/>
          <w:szCs w:val="24"/>
        </w:rPr>
        <w:t>not</w:t>
      </w:r>
      <w:r w:rsidR="0023407C">
        <w:rPr>
          <w:sz w:val="24"/>
          <w:szCs w:val="24"/>
        </w:rPr>
        <w:t xml:space="preserve"> receive credit for the class.</w:t>
      </w:r>
    </w:p>
    <w:p w:rsidR="0023407C" w:rsidRDefault="0023407C" w:rsidP="00676225">
      <w:pPr>
        <w:spacing w:after="0" w:line="240" w:lineRule="auto"/>
        <w:jc w:val="both"/>
        <w:rPr>
          <w:sz w:val="24"/>
          <w:szCs w:val="24"/>
        </w:rPr>
      </w:pPr>
    </w:p>
    <w:p w:rsidR="00676AC5" w:rsidRDefault="0023407C" w:rsidP="00B46834">
      <w:pPr>
        <w:spacing w:after="0" w:line="240" w:lineRule="auto"/>
        <w:ind w:firstLine="720"/>
        <w:jc w:val="both"/>
        <w:rPr>
          <w:sz w:val="24"/>
          <w:szCs w:val="24"/>
        </w:rPr>
      </w:pPr>
      <w:r>
        <w:rPr>
          <w:sz w:val="24"/>
          <w:szCs w:val="24"/>
        </w:rPr>
        <w:t>Students who w</w:t>
      </w:r>
      <w:r w:rsidR="00260C27">
        <w:rPr>
          <w:sz w:val="24"/>
          <w:szCs w:val="24"/>
        </w:rPr>
        <w:t>ould like g</w:t>
      </w:r>
      <w:r w:rsidR="0010606F" w:rsidRPr="003A40F5">
        <w:rPr>
          <w:sz w:val="24"/>
          <w:szCs w:val="24"/>
        </w:rPr>
        <w:t>raded credit</w:t>
      </w:r>
      <w:r w:rsidR="009026B8">
        <w:rPr>
          <w:sz w:val="24"/>
          <w:szCs w:val="24"/>
        </w:rPr>
        <w:t xml:space="preserve"> have two options.  First, for two graded credits, students may write a responsive essay of no more than </w:t>
      </w:r>
      <w:r w:rsidR="00676AC5">
        <w:rPr>
          <w:sz w:val="24"/>
          <w:szCs w:val="24"/>
        </w:rPr>
        <w:t>3,000 words</w:t>
      </w:r>
      <w:r w:rsidR="009026B8">
        <w:rPr>
          <w:sz w:val="24"/>
          <w:szCs w:val="24"/>
        </w:rPr>
        <w:t xml:space="preserve"> during the final examination period.  </w:t>
      </w:r>
      <w:r w:rsidR="007B4D4C">
        <w:rPr>
          <w:sz w:val="24"/>
          <w:szCs w:val="24"/>
        </w:rPr>
        <w:t>Students who select thi</w:t>
      </w:r>
      <w:r w:rsidR="00676AC5">
        <w:rPr>
          <w:sz w:val="24"/>
          <w:szCs w:val="24"/>
        </w:rPr>
        <w:t xml:space="preserve">s option will be provided with specific questions and directions that will require </w:t>
      </w:r>
      <w:r w:rsidR="007B4D4C">
        <w:rPr>
          <w:sz w:val="24"/>
          <w:szCs w:val="24"/>
        </w:rPr>
        <w:t xml:space="preserve">drawing on the course materials and class discussions. </w:t>
      </w:r>
      <w:r w:rsidR="009026B8">
        <w:rPr>
          <w:sz w:val="24"/>
          <w:szCs w:val="24"/>
        </w:rPr>
        <w:t>Alternatively, i</w:t>
      </w:r>
      <w:r w:rsidR="0010606F" w:rsidRPr="003A40F5">
        <w:rPr>
          <w:sz w:val="24"/>
          <w:szCs w:val="24"/>
        </w:rPr>
        <w:t>f students w</w:t>
      </w:r>
      <w:r w:rsidR="00581C7E">
        <w:rPr>
          <w:sz w:val="24"/>
          <w:szCs w:val="24"/>
        </w:rPr>
        <w:t>ish</w:t>
      </w:r>
      <w:r w:rsidR="0010606F" w:rsidRPr="003A40F5">
        <w:rPr>
          <w:sz w:val="24"/>
          <w:szCs w:val="24"/>
        </w:rPr>
        <w:t xml:space="preserve"> to </w:t>
      </w:r>
      <w:r w:rsidR="007B4D4C">
        <w:rPr>
          <w:sz w:val="24"/>
          <w:szCs w:val="24"/>
        </w:rPr>
        <w:t xml:space="preserve">complete a </w:t>
      </w:r>
      <w:r w:rsidR="0010606F" w:rsidRPr="003A40F5">
        <w:rPr>
          <w:sz w:val="24"/>
          <w:szCs w:val="24"/>
        </w:rPr>
        <w:t xml:space="preserve">Supervised Analytic Writing or </w:t>
      </w:r>
      <w:r w:rsidR="00581C7E">
        <w:rPr>
          <w:sz w:val="24"/>
          <w:szCs w:val="24"/>
        </w:rPr>
        <w:t xml:space="preserve">a </w:t>
      </w:r>
      <w:r w:rsidR="0010606F" w:rsidRPr="003A40F5">
        <w:rPr>
          <w:sz w:val="24"/>
          <w:szCs w:val="24"/>
        </w:rPr>
        <w:t>Substantial Paper</w:t>
      </w:r>
      <w:r w:rsidR="007B4D4C">
        <w:rPr>
          <w:sz w:val="24"/>
          <w:szCs w:val="24"/>
        </w:rPr>
        <w:t xml:space="preserve"> for three graded credits,</w:t>
      </w:r>
      <w:r w:rsidR="0010606F" w:rsidRPr="003A40F5">
        <w:rPr>
          <w:sz w:val="24"/>
          <w:szCs w:val="24"/>
        </w:rPr>
        <w:t xml:space="preserve"> </w:t>
      </w:r>
      <w:r>
        <w:rPr>
          <w:sz w:val="24"/>
          <w:szCs w:val="24"/>
        </w:rPr>
        <w:t xml:space="preserve">they need to </w:t>
      </w:r>
      <w:r w:rsidR="00581C7E">
        <w:rPr>
          <w:sz w:val="24"/>
          <w:szCs w:val="24"/>
        </w:rPr>
        <w:t>submit a proposal by the fifth week of the semester and meet with instructors to det</w:t>
      </w:r>
      <w:r w:rsidR="009026B8">
        <w:rPr>
          <w:sz w:val="24"/>
          <w:szCs w:val="24"/>
        </w:rPr>
        <w:t>er</w:t>
      </w:r>
      <w:r w:rsidR="007B4D4C">
        <w:rPr>
          <w:sz w:val="24"/>
          <w:szCs w:val="24"/>
        </w:rPr>
        <w:t>mine its feasibility and</w:t>
      </w:r>
      <w:r w:rsidR="00581C7E">
        <w:rPr>
          <w:sz w:val="24"/>
          <w:szCs w:val="24"/>
        </w:rPr>
        <w:t xml:space="preserve"> </w:t>
      </w:r>
      <w:r w:rsidR="00676AC5">
        <w:rPr>
          <w:sz w:val="24"/>
          <w:szCs w:val="24"/>
        </w:rPr>
        <w:t xml:space="preserve">then to </w:t>
      </w:r>
      <w:r>
        <w:rPr>
          <w:sz w:val="24"/>
          <w:szCs w:val="24"/>
        </w:rPr>
        <w:t xml:space="preserve">agree upon a </w:t>
      </w:r>
      <w:r w:rsidR="00581C7E">
        <w:rPr>
          <w:sz w:val="24"/>
          <w:szCs w:val="24"/>
        </w:rPr>
        <w:t xml:space="preserve">research plan and </w:t>
      </w:r>
      <w:r w:rsidR="007B4D4C">
        <w:rPr>
          <w:sz w:val="24"/>
          <w:szCs w:val="24"/>
        </w:rPr>
        <w:t>schedule</w:t>
      </w:r>
      <w:r w:rsidR="0010606F" w:rsidRPr="003A40F5">
        <w:rPr>
          <w:sz w:val="24"/>
          <w:szCs w:val="24"/>
        </w:rPr>
        <w:t>.</w:t>
      </w:r>
    </w:p>
    <w:p w:rsidR="00676AC5" w:rsidRDefault="00676AC5" w:rsidP="00676225">
      <w:pPr>
        <w:spacing w:after="0" w:line="240" w:lineRule="auto"/>
        <w:jc w:val="both"/>
        <w:rPr>
          <w:sz w:val="24"/>
          <w:szCs w:val="24"/>
        </w:rPr>
      </w:pPr>
    </w:p>
    <w:p w:rsidR="00DE3469" w:rsidRPr="003A40F5" w:rsidRDefault="00581C7E" w:rsidP="00AE3A3A">
      <w:pPr>
        <w:spacing w:after="0" w:line="240" w:lineRule="auto"/>
        <w:ind w:firstLine="720"/>
        <w:jc w:val="both"/>
        <w:rPr>
          <w:sz w:val="24"/>
          <w:szCs w:val="24"/>
        </w:rPr>
      </w:pPr>
      <w:r>
        <w:rPr>
          <w:sz w:val="24"/>
          <w:szCs w:val="24"/>
        </w:rPr>
        <w:t>The class may be audited, with permission of the instructor</w:t>
      </w:r>
      <w:r w:rsidR="00513DD2">
        <w:rPr>
          <w:sz w:val="24"/>
          <w:szCs w:val="24"/>
        </w:rPr>
        <w:t xml:space="preserve">; </w:t>
      </w:r>
      <w:r w:rsidR="00F23B3F">
        <w:rPr>
          <w:sz w:val="24"/>
          <w:szCs w:val="24"/>
        </w:rPr>
        <w:t xml:space="preserve">doing so </w:t>
      </w:r>
      <w:r>
        <w:rPr>
          <w:sz w:val="24"/>
          <w:szCs w:val="24"/>
        </w:rPr>
        <w:t>requires regular attendance.  Visitors, again wit</w:t>
      </w:r>
      <w:r w:rsidR="00AE3A3A">
        <w:rPr>
          <w:sz w:val="24"/>
          <w:szCs w:val="24"/>
        </w:rPr>
        <w:t>h permission, are also welcome.</w:t>
      </w:r>
    </w:p>
    <w:p w:rsidR="00B46834" w:rsidRPr="003A40F5" w:rsidRDefault="00B46834" w:rsidP="00676225">
      <w:pPr>
        <w:spacing w:after="0" w:line="240" w:lineRule="auto"/>
        <w:jc w:val="both"/>
        <w:rPr>
          <w:sz w:val="24"/>
          <w:szCs w:val="24"/>
        </w:rPr>
      </w:pPr>
    </w:p>
    <w:p w:rsidR="005B31F0" w:rsidRPr="000238D3" w:rsidRDefault="00392E0C" w:rsidP="00956A3F">
      <w:pPr>
        <w:tabs>
          <w:tab w:val="left" w:pos="1440"/>
        </w:tabs>
        <w:spacing w:after="0" w:line="240" w:lineRule="auto"/>
        <w:contextualSpacing/>
        <w:jc w:val="both"/>
        <w:rPr>
          <w:b/>
          <w:bCs/>
          <w:sz w:val="28"/>
          <w:szCs w:val="28"/>
        </w:rPr>
      </w:pPr>
      <w:r>
        <w:rPr>
          <w:b/>
          <w:bCs/>
          <w:sz w:val="28"/>
          <w:szCs w:val="28"/>
        </w:rPr>
        <w:t>February 9</w:t>
      </w:r>
      <w:r w:rsidR="00676AC5" w:rsidRPr="000238D3">
        <w:rPr>
          <w:b/>
          <w:bCs/>
          <w:sz w:val="28"/>
          <w:szCs w:val="28"/>
        </w:rPr>
        <w:t xml:space="preserve"> </w:t>
      </w:r>
      <w:r w:rsidR="00F85468" w:rsidRPr="000238D3">
        <w:rPr>
          <w:b/>
          <w:bCs/>
          <w:sz w:val="28"/>
          <w:szCs w:val="28"/>
        </w:rPr>
        <w:t>(</w:t>
      </w:r>
      <w:r w:rsidR="005B31F0" w:rsidRPr="000238D3">
        <w:rPr>
          <w:b/>
          <w:bCs/>
          <w:sz w:val="28"/>
          <w:szCs w:val="28"/>
        </w:rPr>
        <w:t>Class 1</w:t>
      </w:r>
      <w:r w:rsidR="00F85468" w:rsidRPr="000238D3">
        <w:rPr>
          <w:b/>
          <w:bCs/>
          <w:sz w:val="28"/>
          <w:szCs w:val="28"/>
        </w:rPr>
        <w:t>)</w:t>
      </w:r>
      <w:r w:rsidR="005B31F0" w:rsidRPr="000238D3">
        <w:rPr>
          <w:b/>
          <w:bCs/>
          <w:sz w:val="28"/>
          <w:szCs w:val="28"/>
        </w:rPr>
        <w:t>:</w:t>
      </w:r>
      <w:r w:rsidR="00676AC5" w:rsidRPr="000238D3">
        <w:rPr>
          <w:b/>
          <w:bCs/>
          <w:sz w:val="28"/>
          <w:szCs w:val="28"/>
        </w:rPr>
        <w:t xml:space="preserve"> </w:t>
      </w:r>
      <w:r w:rsidR="00705964">
        <w:rPr>
          <w:b/>
          <w:bCs/>
          <w:sz w:val="28"/>
          <w:szCs w:val="28"/>
        </w:rPr>
        <w:t xml:space="preserve"> </w:t>
      </w:r>
      <w:r w:rsidR="00621212" w:rsidRPr="000238D3">
        <w:rPr>
          <w:b/>
          <w:bCs/>
          <w:sz w:val="28"/>
          <w:szCs w:val="28"/>
        </w:rPr>
        <w:t xml:space="preserve">Are </w:t>
      </w:r>
      <w:r w:rsidR="002A2EA6" w:rsidRPr="000238D3">
        <w:rPr>
          <w:b/>
          <w:bCs/>
          <w:sz w:val="28"/>
          <w:szCs w:val="28"/>
        </w:rPr>
        <w:t>Courts</w:t>
      </w:r>
      <w:r w:rsidR="00621212" w:rsidRPr="000238D3">
        <w:rPr>
          <w:b/>
          <w:bCs/>
          <w:sz w:val="28"/>
          <w:szCs w:val="28"/>
        </w:rPr>
        <w:t xml:space="preserve"> Rights?</w:t>
      </w:r>
    </w:p>
    <w:p w:rsidR="00775C00" w:rsidRDefault="00F11C51" w:rsidP="000F027A">
      <w:pPr>
        <w:tabs>
          <w:tab w:val="left" w:pos="720"/>
        </w:tabs>
        <w:spacing w:after="0" w:line="240" w:lineRule="auto"/>
        <w:jc w:val="both"/>
        <w:rPr>
          <w:bCs/>
          <w:sz w:val="24"/>
          <w:szCs w:val="24"/>
        </w:rPr>
      </w:pPr>
      <w:r w:rsidRPr="003A40F5">
        <w:rPr>
          <w:bCs/>
          <w:sz w:val="24"/>
          <w:szCs w:val="24"/>
        </w:rPr>
        <w:tab/>
      </w:r>
      <w:r w:rsidR="00581C7E">
        <w:rPr>
          <w:bCs/>
          <w:sz w:val="24"/>
          <w:szCs w:val="24"/>
        </w:rPr>
        <w:t xml:space="preserve">This class </w:t>
      </w:r>
      <w:r w:rsidR="00F23B3F">
        <w:rPr>
          <w:bCs/>
          <w:sz w:val="24"/>
          <w:szCs w:val="24"/>
        </w:rPr>
        <w:t xml:space="preserve">opens up our discussion by inquiring about the idea of </w:t>
      </w:r>
      <w:r w:rsidR="00581C7E">
        <w:rPr>
          <w:bCs/>
          <w:sz w:val="24"/>
          <w:szCs w:val="24"/>
        </w:rPr>
        <w:t xml:space="preserve">courts as “rights.” What are the sources for </w:t>
      </w:r>
      <w:r w:rsidR="00F23B3F">
        <w:rPr>
          <w:bCs/>
          <w:sz w:val="24"/>
          <w:szCs w:val="24"/>
        </w:rPr>
        <w:t>that claim?</w:t>
      </w:r>
      <w:r w:rsidR="00581C7E">
        <w:rPr>
          <w:bCs/>
          <w:sz w:val="24"/>
          <w:szCs w:val="24"/>
        </w:rPr>
        <w:t xml:space="preserve">  Is there a constitutional obligation that governments provide courts? If so, must all be welcomed?   Is the government obliged to fund courts? At what level? Or should courts be understood as a government service</w:t>
      </w:r>
      <w:r w:rsidR="00F23B3F">
        <w:rPr>
          <w:bCs/>
          <w:sz w:val="24"/>
          <w:szCs w:val="24"/>
        </w:rPr>
        <w:t xml:space="preserve"> for which its </w:t>
      </w:r>
      <w:r w:rsidR="00581C7E">
        <w:rPr>
          <w:bCs/>
          <w:sz w:val="24"/>
          <w:szCs w:val="24"/>
        </w:rPr>
        <w:t>users</w:t>
      </w:r>
      <w:r w:rsidR="00F23B3F">
        <w:rPr>
          <w:bCs/>
          <w:sz w:val="24"/>
          <w:szCs w:val="24"/>
        </w:rPr>
        <w:t xml:space="preserve"> should pay, by way of </w:t>
      </w:r>
      <w:r w:rsidR="00581C7E">
        <w:rPr>
          <w:bCs/>
          <w:sz w:val="24"/>
          <w:szCs w:val="24"/>
        </w:rPr>
        <w:t xml:space="preserve">fees and fines? </w:t>
      </w:r>
      <w:r w:rsidR="00F23B3F">
        <w:rPr>
          <w:bCs/>
          <w:sz w:val="24"/>
          <w:szCs w:val="24"/>
        </w:rPr>
        <w:t xml:space="preserve"> Further, what</w:t>
      </w:r>
      <w:r w:rsidR="00B27BBE">
        <w:rPr>
          <w:bCs/>
          <w:sz w:val="24"/>
          <w:szCs w:val="24"/>
        </w:rPr>
        <w:t xml:space="preserve"> about subsidies for users?</w:t>
      </w:r>
    </w:p>
    <w:p w:rsidR="00775C00" w:rsidRDefault="00775C00" w:rsidP="000F027A">
      <w:pPr>
        <w:tabs>
          <w:tab w:val="left" w:pos="720"/>
        </w:tabs>
        <w:spacing w:after="0" w:line="240" w:lineRule="auto"/>
        <w:jc w:val="both"/>
        <w:rPr>
          <w:bCs/>
          <w:sz w:val="24"/>
          <w:szCs w:val="24"/>
        </w:rPr>
      </w:pPr>
    </w:p>
    <w:p w:rsidR="00775C00" w:rsidRDefault="00775C00" w:rsidP="00FF0A59">
      <w:pPr>
        <w:tabs>
          <w:tab w:val="left" w:pos="720"/>
        </w:tabs>
        <w:spacing w:after="0" w:line="240" w:lineRule="auto"/>
        <w:jc w:val="both"/>
        <w:rPr>
          <w:bCs/>
          <w:sz w:val="24"/>
          <w:szCs w:val="24"/>
        </w:rPr>
      </w:pPr>
      <w:r>
        <w:rPr>
          <w:bCs/>
          <w:sz w:val="24"/>
          <w:szCs w:val="24"/>
        </w:rPr>
        <w:tab/>
        <w:t xml:space="preserve">These many questions will lace the semester. To begin, read the 1971 decision of </w:t>
      </w:r>
      <w:r w:rsidRPr="000F027A">
        <w:rPr>
          <w:bCs/>
          <w:i/>
          <w:sz w:val="24"/>
          <w:szCs w:val="24"/>
        </w:rPr>
        <w:t>Boddie v. Connecticut</w:t>
      </w:r>
      <w:r>
        <w:rPr>
          <w:bCs/>
          <w:sz w:val="24"/>
          <w:szCs w:val="24"/>
        </w:rPr>
        <w:t xml:space="preserve"> of the U.S. Supreme Court and the 2014 ruling, </w:t>
      </w:r>
      <w:r>
        <w:rPr>
          <w:rFonts w:eastAsiaTheme="minorHAnsi" w:cs="Times New Roman"/>
          <w:i/>
          <w:sz w:val="24"/>
          <w:szCs w:val="24"/>
        </w:rPr>
        <w:t>Trial</w:t>
      </w:r>
      <w:r w:rsidRPr="003A40F5">
        <w:rPr>
          <w:rFonts w:eastAsiaTheme="minorHAnsi" w:cs="Times New Roman"/>
          <w:i/>
          <w:sz w:val="24"/>
          <w:szCs w:val="24"/>
        </w:rPr>
        <w:t xml:space="preserve"> Lawyers Ass’n of British Columbia v. Att’y Gen. of British Columbia</w:t>
      </w:r>
      <w:r w:rsidRPr="003A40F5">
        <w:rPr>
          <w:rFonts w:eastAsiaTheme="minorHAnsi" w:cs="Times New Roman"/>
          <w:sz w:val="24"/>
          <w:szCs w:val="24"/>
        </w:rPr>
        <w:t xml:space="preserve"> </w:t>
      </w:r>
      <w:r>
        <w:rPr>
          <w:rFonts w:eastAsiaTheme="minorHAnsi" w:cs="Times New Roman"/>
          <w:sz w:val="24"/>
          <w:szCs w:val="24"/>
        </w:rPr>
        <w:t>by the Supreme Court of Canada.  Also review</w:t>
      </w:r>
      <w:r w:rsidR="00DE3469">
        <w:rPr>
          <w:rFonts w:eastAsiaTheme="minorHAnsi" w:cs="Times New Roman"/>
          <w:sz w:val="24"/>
          <w:szCs w:val="24"/>
        </w:rPr>
        <w:t xml:space="preserve"> </w:t>
      </w:r>
      <w:r>
        <w:rPr>
          <w:rFonts w:eastAsiaTheme="minorHAnsi" w:cs="Times New Roman"/>
          <w:sz w:val="24"/>
          <w:szCs w:val="24"/>
        </w:rPr>
        <w:t>Article III, and the 5, 6, 7, and 14</w:t>
      </w:r>
      <w:r w:rsidRPr="000F027A">
        <w:rPr>
          <w:rFonts w:eastAsiaTheme="minorHAnsi" w:cs="Times New Roman"/>
          <w:sz w:val="24"/>
          <w:szCs w:val="24"/>
          <w:vertAlign w:val="superscript"/>
        </w:rPr>
        <w:t>th</w:t>
      </w:r>
      <w:r>
        <w:rPr>
          <w:rFonts w:eastAsiaTheme="minorHAnsi" w:cs="Times New Roman"/>
          <w:sz w:val="24"/>
          <w:szCs w:val="24"/>
        </w:rPr>
        <w:t xml:space="preserve"> </w:t>
      </w:r>
      <w:r w:rsidR="00DE3469">
        <w:rPr>
          <w:rFonts w:eastAsiaTheme="minorHAnsi" w:cs="Times New Roman"/>
          <w:sz w:val="24"/>
          <w:szCs w:val="24"/>
        </w:rPr>
        <w:t>A</w:t>
      </w:r>
      <w:r w:rsidR="001A12CF">
        <w:rPr>
          <w:rFonts w:eastAsiaTheme="minorHAnsi" w:cs="Times New Roman"/>
          <w:sz w:val="24"/>
          <w:szCs w:val="24"/>
        </w:rPr>
        <w:t>mendments</w:t>
      </w:r>
      <w:r w:rsidR="00DE3469">
        <w:rPr>
          <w:rFonts w:eastAsiaTheme="minorHAnsi" w:cs="Times New Roman"/>
          <w:sz w:val="24"/>
          <w:szCs w:val="24"/>
        </w:rPr>
        <w:t xml:space="preserve"> of the U.S. Constitution; copies will be provided in class as well.  In addition, review the </w:t>
      </w:r>
      <w:r>
        <w:rPr>
          <w:rFonts w:eastAsiaTheme="minorHAnsi" w:cs="Times New Roman"/>
          <w:sz w:val="24"/>
          <w:szCs w:val="24"/>
        </w:rPr>
        <w:t xml:space="preserve">excerpts </w:t>
      </w:r>
      <w:r w:rsidR="00FF0A59">
        <w:rPr>
          <w:rFonts w:eastAsiaTheme="minorHAnsi" w:cs="Times New Roman"/>
          <w:sz w:val="24"/>
          <w:szCs w:val="24"/>
        </w:rPr>
        <w:t xml:space="preserve">provided </w:t>
      </w:r>
      <w:r w:rsidR="00DE3469">
        <w:rPr>
          <w:rFonts w:eastAsiaTheme="minorHAnsi" w:cs="Times New Roman"/>
          <w:sz w:val="24"/>
          <w:szCs w:val="24"/>
        </w:rPr>
        <w:t xml:space="preserve">in these materials </w:t>
      </w:r>
      <w:r>
        <w:rPr>
          <w:rFonts w:eastAsiaTheme="minorHAnsi" w:cs="Times New Roman"/>
          <w:sz w:val="24"/>
          <w:szCs w:val="24"/>
        </w:rPr>
        <w:t xml:space="preserve">from the 1818 </w:t>
      </w:r>
      <w:r>
        <w:rPr>
          <w:rFonts w:eastAsiaTheme="minorHAnsi" w:cs="Times New Roman"/>
          <w:sz w:val="24"/>
          <w:szCs w:val="24"/>
        </w:rPr>
        <w:lastRenderedPageBreak/>
        <w:t>Connecticut Constitution and the 1819 Alabama Constitution</w:t>
      </w:r>
      <w:r w:rsidR="001A12CF">
        <w:rPr>
          <w:rFonts w:eastAsiaTheme="minorHAnsi" w:cs="Times New Roman"/>
          <w:sz w:val="24"/>
          <w:szCs w:val="24"/>
        </w:rPr>
        <w:t>; Article</w:t>
      </w:r>
      <w:r w:rsidR="00DE3ED6">
        <w:rPr>
          <w:rFonts w:eastAsiaTheme="minorHAnsi" w:cs="Times New Roman"/>
          <w:sz w:val="24"/>
          <w:szCs w:val="24"/>
        </w:rPr>
        <w:t xml:space="preserve">s 5 and </w:t>
      </w:r>
      <w:r w:rsidR="001A12CF">
        <w:rPr>
          <w:rFonts w:eastAsiaTheme="minorHAnsi" w:cs="Times New Roman"/>
          <w:sz w:val="24"/>
          <w:szCs w:val="24"/>
        </w:rPr>
        <w:t>6 of the European Convention on Human Rights (1950)</w:t>
      </w:r>
      <w:r w:rsidR="00FF0A59">
        <w:rPr>
          <w:rFonts w:eastAsiaTheme="minorHAnsi" w:cs="Times New Roman"/>
          <w:sz w:val="24"/>
          <w:szCs w:val="24"/>
        </w:rPr>
        <w:t>,</w:t>
      </w:r>
      <w:r w:rsidR="00B27BBE">
        <w:rPr>
          <w:rFonts w:eastAsiaTheme="minorHAnsi" w:cs="Times New Roman"/>
          <w:sz w:val="24"/>
          <w:szCs w:val="24"/>
        </w:rPr>
        <w:t xml:space="preserve"> </w:t>
      </w:r>
      <w:r w:rsidR="001A12CF">
        <w:rPr>
          <w:rFonts w:eastAsiaTheme="minorHAnsi" w:cs="Times New Roman"/>
          <w:sz w:val="24"/>
          <w:szCs w:val="24"/>
        </w:rPr>
        <w:t>and</w:t>
      </w:r>
      <w:r w:rsidR="00F85468">
        <w:rPr>
          <w:rFonts w:eastAsiaTheme="minorHAnsi" w:cs="Times New Roman"/>
          <w:sz w:val="24"/>
          <w:szCs w:val="24"/>
        </w:rPr>
        <w:t xml:space="preserve"> Article</w:t>
      </w:r>
      <w:r w:rsidR="00DE3ED6">
        <w:rPr>
          <w:rFonts w:eastAsiaTheme="minorHAnsi" w:cs="Times New Roman"/>
          <w:sz w:val="24"/>
          <w:szCs w:val="24"/>
        </w:rPr>
        <w:t>s</w:t>
      </w:r>
      <w:r w:rsidR="00F85468">
        <w:rPr>
          <w:rFonts w:eastAsiaTheme="minorHAnsi" w:cs="Times New Roman"/>
          <w:sz w:val="24"/>
          <w:szCs w:val="24"/>
        </w:rPr>
        <w:t xml:space="preserve"> 47</w:t>
      </w:r>
      <w:r w:rsidR="00DE3ED6">
        <w:rPr>
          <w:rFonts w:eastAsiaTheme="minorHAnsi" w:cs="Times New Roman"/>
          <w:sz w:val="24"/>
          <w:szCs w:val="24"/>
        </w:rPr>
        <w:t>-50</w:t>
      </w:r>
      <w:r w:rsidR="00F85468">
        <w:rPr>
          <w:rFonts w:eastAsiaTheme="minorHAnsi" w:cs="Times New Roman"/>
          <w:sz w:val="24"/>
          <w:szCs w:val="24"/>
        </w:rPr>
        <w:t xml:space="preserve"> of the Charter of Fundamental Rights of the European Union</w:t>
      </w:r>
      <w:r w:rsidR="00FF0A59">
        <w:rPr>
          <w:rFonts w:eastAsiaTheme="minorHAnsi" w:cs="Times New Roman"/>
          <w:sz w:val="24"/>
          <w:szCs w:val="24"/>
        </w:rPr>
        <w:t>.</w:t>
      </w:r>
    </w:p>
    <w:p w:rsidR="00775C00" w:rsidRDefault="00775C00" w:rsidP="00F11C51">
      <w:pPr>
        <w:tabs>
          <w:tab w:val="left" w:pos="720"/>
        </w:tabs>
        <w:spacing w:after="0" w:line="240" w:lineRule="auto"/>
        <w:jc w:val="both"/>
        <w:rPr>
          <w:bCs/>
          <w:sz w:val="24"/>
          <w:szCs w:val="24"/>
        </w:rPr>
      </w:pPr>
    </w:p>
    <w:p w:rsidR="00D438B9" w:rsidRDefault="00D438B9" w:rsidP="00D438B9">
      <w:pPr>
        <w:tabs>
          <w:tab w:val="left" w:pos="1440"/>
        </w:tabs>
        <w:spacing w:after="0" w:line="240" w:lineRule="auto"/>
        <w:ind w:left="1440" w:hanging="720"/>
        <w:rPr>
          <w:bCs/>
          <w:sz w:val="24"/>
          <w:szCs w:val="24"/>
        </w:rPr>
      </w:pPr>
      <w:r w:rsidRPr="003A40F5">
        <w:rPr>
          <w:bCs/>
          <w:i/>
          <w:sz w:val="24"/>
          <w:szCs w:val="24"/>
        </w:rPr>
        <w:t>Boddie v. Connecticut</w:t>
      </w:r>
      <w:r w:rsidRPr="003A40F5">
        <w:rPr>
          <w:bCs/>
          <w:sz w:val="24"/>
          <w:szCs w:val="24"/>
        </w:rPr>
        <w:t>, 401 U.S. 371 (1971)</w:t>
      </w:r>
      <w:r w:rsidR="00FF0A59">
        <w:rPr>
          <w:bCs/>
          <w:sz w:val="24"/>
          <w:szCs w:val="24"/>
        </w:rPr>
        <w:t xml:space="preserve"> and relat</w:t>
      </w:r>
      <w:r w:rsidR="00BF31B4">
        <w:rPr>
          <w:bCs/>
          <w:sz w:val="24"/>
          <w:szCs w:val="24"/>
        </w:rPr>
        <w:t xml:space="preserve">ed materials, from Cover, Fiss </w:t>
      </w:r>
      <w:r w:rsidR="00FF0A59">
        <w:rPr>
          <w:bCs/>
          <w:sz w:val="24"/>
          <w:szCs w:val="24"/>
        </w:rPr>
        <w:t>Resnik, Procedure</w:t>
      </w:r>
    </w:p>
    <w:p w:rsidR="00FF0A59" w:rsidRPr="003A40F5" w:rsidRDefault="00FF0A59" w:rsidP="00676225">
      <w:pPr>
        <w:tabs>
          <w:tab w:val="left" w:pos="1440"/>
        </w:tabs>
        <w:spacing w:after="0" w:line="240" w:lineRule="auto"/>
        <w:rPr>
          <w:bCs/>
          <w:sz w:val="24"/>
          <w:szCs w:val="24"/>
        </w:rPr>
      </w:pPr>
    </w:p>
    <w:p w:rsidR="00FF0A59" w:rsidRDefault="00D438B9" w:rsidP="000F027A">
      <w:pPr>
        <w:spacing w:after="0" w:line="240" w:lineRule="auto"/>
        <w:ind w:left="720"/>
        <w:contextualSpacing/>
        <w:jc w:val="both"/>
        <w:rPr>
          <w:rFonts w:eastAsiaTheme="minorHAnsi" w:cs="Times New Roman"/>
          <w:sz w:val="24"/>
          <w:szCs w:val="24"/>
        </w:rPr>
      </w:pPr>
      <w:r w:rsidRPr="003A40F5">
        <w:rPr>
          <w:rFonts w:eastAsiaTheme="minorHAnsi" w:cs="Times New Roman"/>
          <w:i/>
          <w:sz w:val="24"/>
          <w:szCs w:val="24"/>
        </w:rPr>
        <w:t>Trial Lawyers Ass’n of British Columbia v. Att’y Gen. of British Columbia</w:t>
      </w:r>
      <w:r w:rsidRPr="003A40F5">
        <w:rPr>
          <w:rFonts w:eastAsiaTheme="minorHAnsi" w:cs="Times New Roman"/>
          <w:sz w:val="24"/>
          <w:szCs w:val="24"/>
        </w:rPr>
        <w:t>,</w:t>
      </w:r>
    </w:p>
    <w:p w:rsidR="00F11C51" w:rsidRDefault="00D438B9" w:rsidP="00FF0A59">
      <w:pPr>
        <w:spacing w:after="0" w:line="240" w:lineRule="auto"/>
        <w:ind w:left="720" w:firstLine="720"/>
        <w:contextualSpacing/>
        <w:jc w:val="both"/>
        <w:rPr>
          <w:rFonts w:eastAsiaTheme="minorHAnsi" w:cs="Times New Roman"/>
          <w:sz w:val="24"/>
          <w:szCs w:val="24"/>
        </w:rPr>
      </w:pPr>
      <w:r w:rsidRPr="003A40F5">
        <w:rPr>
          <w:rFonts w:eastAsiaTheme="minorHAnsi" w:cs="Times New Roman"/>
          <w:sz w:val="24"/>
          <w:szCs w:val="24"/>
        </w:rPr>
        <w:t xml:space="preserve"> 2014 SCC 59 (Supreme Court of Canada)</w:t>
      </w:r>
    </w:p>
    <w:p w:rsidR="00F23B3F" w:rsidRDefault="00F23B3F" w:rsidP="00956A3F">
      <w:pPr>
        <w:spacing w:after="0" w:line="240" w:lineRule="auto"/>
        <w:contextualSpacing/>
        <w:jc w:val="both"/>
        <w:rPr>
          <w:sz w:val="24"/>
          <w:szCs w:val="24"/>
        </w:rPr>
      </w:pPr>
    </w:p>
    <w:p w:rsidR="00FF0A59" w:rsidRDefault="00FF0A59" w:rsidP="00956A3F">
      <w:pPr>
        <w:spacing w:after="0" w:line="240" w:lineRule="auto"/>
        <w:contextualSpacing/>
        <w:jc w:val="both"/>
        <w:rPr>
          <w:sz w:val="24"/>
          <w:szCs w:val="24"/>
        </w:rPr>
      </w:pPr>
    </w:p>
    <w:p w:rsidR="00220EBC" w:rsidRPr="00392E0C" w:rsidRDefault="00392E0C" w:rsidP="00956A3F">
      <w:pPr>
        <w:spacing w:after="0" w:line="240" w:lineRule="auto"/>
        <w:contextualSpacing/>
        <w:jc w:val="both"/>
        <w:rPr>
          <w:b/>
          <w:sz w:val="24"/>
          <w:szCs w:val="24"/>
          <w:u w:val="single"/>
        </w:rPr>
      </w:pPr>
      <w:r w:rsidRPr="00392E0C">
        <w:rPr>
          <w:b/>
          <w:sz w:val="24"/>
          <w:szCs w:val="24"/>
          <w:u w:val="single"/>
        </w:rPr>
        <w:t>*This make up class will be held in YLS Faculty Lounge (2</w:t>
      </w:r>
      <w:r w:rsidRPr="00392E0C">
        <w:rPr>
          <w:b/>
          <w:sz w:val="24"/>
          <w:szCs w:val="24"/>
          <w:u w:val="single"/>
          <w:vertAlign w:val="superscript"/>
        </w:rPr>
        <w:t>nd</w:t>
      </w:r>
      <w:r w:rsidRPr="00392E0C">
        <w:rPr>
          <w:b/>
          <w:sz w:val="24"/>
          <w:szCs w:val="24"/>
          <w:u w:val="single"/>
        </w:rPr>
        <w:t xml:space="preserve"> floor) 7:10-9:00 pm)</w:t>
      </w:r>
    </w:p>
    <w:p w:rsidR="00FF0A59" w:rsidRPr="000238D3" w:rsidRDefault="00392E0C" w:rsidP="00767B8F">
      <w:pPr>
        <w:tabs>
          <w:tab w:val="left" w:pos="720"/>
          <w:tab w:val="left" w:pos="1440"/>
        </w:tabs>
        <w:spacing w:after="0" w:line="240" w:lineRule="auto"/>
        <w:ind w:left="1440" w:hanging="1440"/>
        <w:contextualSpacing/>
        <w:jc w:val="both"/>
        <w:rPr>
          <w:b/>
          <w:bCs/>
          <w:sz w:val="28"/>
          <w:szCs w:val="28"/>
        </w:rPr>
      </w:pPr>
      <w:r>
        <w:rPr>
          <w:b/>
          <w:sz w:val="28"/>
          <w:szCs w:val="28"/>
        </w:rPr>
        <w:t xml:space="preserve">Tuesday, </w:t>
      </w:r>
      <w:r w:rsidR="00FF0A59" w:rsidRPr="000238D3">
        <w:rPr>
          <w:b/>
          <w:sz w:val="28"/>
          <w:szCs w:val="28"/>
        </w:rPr>
        <w:t xml:space="preserve">February </w:t>
      </w:r>
      <w:r>
        <w:rPr>
          <w:b/>
          <w:sz w:val="28"/>
          <w:szCs w:val="28"/>
        </w:rPr>
        <w:t>10</w:t>
      </w:r>
      <w:r w:rsidR="00FF0A59" w:rsidRPr="000238D3">
        <w:rPr>
          <w:b/>
          <w:sz w:val="28"/>
          <w:szCs w:val="28"/>
        </w:rPr>
        <w:t xml:space="preserve"> (Class 2)</w:t>
      </w:r>
      <w:r w:rsidR="004B1BF2">
        <w:rPr>
          <w:b/>
          <w:sz w:val="28"/>
          <w:szCs w:val="28"/>
        </w:rPr>
        <w:t>:</w:t>
      </w:r>
      <w:r w:rsidR="000238D3">
        <w:rPr>
          <w:b/>
          <w:sz w:val="28"/>
          <w:szCs w:val="28"/>
        </w:rPr>
        <w:t xml:space="preserve"> </w:t>
      </w:r>
      <w:r w:rsidR="00705964">
        <w:rPr>
          <w:b/>
          <w:sz w:val="28"/>
          <w:szCs w:val="28"/>
        </w:rPr>
        <w:t xml:space="preserve"> </w:t>
      </w:r>
      <w:r w:rsidR="00767B8F">
        <w:rPr>
          <w:b/>
          <w:bCs/>
          <w:sz w:val="28"/>
          <w:szCs w:val="28"/>
        </w:rPr>
        <w:t>When and Why are Lawyers R</w:t>
      </w:r>
      <w:r w:rsidR="00F23B3F">
        <w:rPr>
          <w:b/>
          <w:bCs/>
          <w:sz w:val="28"/>
          <w:szCs w:val="28"/>
        </w:rPr>
        <w:t xml:space="preserve">ights:  The Example of </w:t>
      </w:r>
      <w:r w:rsidR="00767B8F">
        <w:rPr>
          <w:b/>
          <w:bCs/>
          <w:sz w:val="28"/>
          <w:szCs w:val="28"/>
        </w:rPr>
        <w:t xml:space="preserve">Counsel </w:t>
      </w:r>
      <w:r w:rsidR="004B1BF2">
        <w:rPr>
          <w:b/>
          <w:bCs/>
          <w:sz w:val="28"/>
          <w:szCs w:val="28"/>
        </w:rPr>
        <w:t>for</w:t>
      </w:r>
      <w:r w:rsidR="005D72D6" w:rsidRPr="000238D3">
        <w:rPr>
          <w:b/>
          <w:bCs/>
          <w:sz w:val="28"/>
          <w:szCs w:val="28"/>
        </w:rPr>
        <w:t xml:space="preserve"> Criminal Defendants</w:t>
      </w:r>
    </w:p>
    <w:p w:rsidR="00354A4A" w:rsidRPr="004B1BF2" w:rsidRDefault="00FF0A59" w:rsidP="004B1BF2">
      <w:pPr>
        <w:tabs>
          <w:tab w:val="left" w:pos="1440"/>
        </w:tabs>
        <w:spacing w:after="0" w:line="240" w:lineRule="auto"/>
        <w:ind w:firstLine="720"/>
        <w:contextualSpacing/>
        <w:jc w:val="both"/>
        <w:rPr>
          <w:sz w:val="24"/>
          <w:szCs w:val="24"/>
        </w:rPr>
      </w:pPr>
      <w:r w:rsidRPr="003A40F5">
        <w:rPr>
          <w:sz w:val="24"/>
          <w:szCs w:val="24"/>
        </w:rPr>
        <w:t xml:space="preserve">In 1963, the Supreme Court held that defendants facing felony charges must be afforded counsel paid for by the state. </w:t>
      </w:r>
      <w:r w:rsidR="00A441A0">
        <w:rPr>
          <w:sz w:val="24"/>
          <w:szCs w:val="24"/>
        </w:rPr>
        <w:t xml:space="preserve"> In 1966, the Court held that individuals in detention had a right to speak with a lawyer before being questioned.  What are the bases </w:t>
      </w:r>
      <w:r w:rsidR="005F5E7B">
        <w:rPr>
          <w:sz w:val="24"/>
          <w:szCs w:val="24"/>
        </w:rPr>
        <w:t xml:space="preserve">for these rulings? </w:t>
      </w:r>
      <w:r w:rsidR="00A873B0">
        <w:rPr>
          <w:sz w:val="24"/>
          <w:szCs w:val="24"/>
        </w:rPr>
        <w:t>T</w:t>
      </w:r>
      <w:r w:rsidR="007D2C7C">
        <w:rPr>
          <w:sz w:val="24"/>
          <w:szCs w:val="24"/>
        </w:rPr>
        <w:t xml:space="preserve">heir reach?  What issues remained open? </w:t>
      </w:r>
      <w:r w:rsidR="005F5E7B">
        <w:rPr>
          <w:sz w:val="24"/>
          <w:szCs w:val="24"/>
        </w:rPr>
        <w:t xml:space="preserve">What </w:t>
      </w:r>
      <w:r w:rsidR="00C94128">
        <w:rPr>
          <w:sz w:val="24"/>
          <w:szCs w:val="24"/>
        </w:rPr>
        <w:t xml:space="preserve">roles </w:t>
      </w:r>
      <w:r w:rsidR="007D2C7C">
        <w:rPr>
          <w:sz w:val="24"/>
          <w:szCs w:val="24"/>
        </w:rPr>
        <w:t>were</w:t>
      </w:r>
      <w:r w:rsidR="00C94128">
        <w:rPr>
          <w:sz w:val="24"/>
          <w:szCs w:val="24"/>
        </w:rPr>
        <w:t xml:space="preserve"> played by race,</w:t>
      </w:r>
      <w:r w:rsidR="007D2C7C">
        <w:rPr>
          <w:sz w:val="24"/>
          <w:szCs w:val="24"/>
        </w:rPr>
        <w:t xml:space="preserve"> class,</w:t>
      </w:r>
      <w:r w:rsidR="00C94128">
        <w:rPr>
          <w:sz w:val="24"/>
          <w:szCs w:val="24"/>
        </w:rPr>
        <w:t xml:space="preserve"> no</w:t>
      </w:r>
      <w:r w:rsidR="00B27BBE">
        <w:rPr>
          <w:sz w:val="24"/>
          <w:szCs w:val="24"/>
        </w:rPr>
        <w:t>n-domestic law, and federalism?</w:t>
      </w:r>
    </w:p>
    <w:p w:rsidR="00841AF9" w:rsidRDefault="00841AF9" w:rsidP="00676225">
      <w:pPr>
        <w:tabs>
          <w:tab w:val="left" w:pos="1440"/>
        </w:tabs>
        <w:spacing w:after="0" w:line="240" w:lineRule="auto"/>
        <w:jc w:val="both"/>
        <w:rPr>
          <w:bCs/>
          <w:sz w:val="24"/>
          <w:szCs w:val="24"/>
        </w:rPr>
      </w:pPr>
    </w:p>
    <w:p w:rsidR="00841AF9" w:rsidRPr="00354A4A" w:rsidRDefault="00010516" w:rsidP="00A441A0">
      <w:pPr>
        <w:tabs>
          <w:tab w:val="left" w:pos="1440"/>
        </w:tabs>
        <w:spacing w:after="0" w:line="240" w:lineRule="auto"/>
        <w:ind w:left="720"/>
        <w:jc w:val="both"/>
        <w:rPr>
          <w:bCs/>
          <w:sz w:val="24"/>
          <w:szCs w:val="24"/>
        </w:rPr>
      </w:pPr>
      <w:r>
        <w:rPr>
          <w:bCs/>
          <w:sz w:val="24"/>
          <w:szCs w:val="24"/>
        </w:rPr>
        <w:t xml:space="preserve">Gabriel J. Chin, </w:t>
      </w:r>
      <w:r w:rsidR="00841AF9" w:rsidRPr="00010516">
        <w:rPr>
          <w:bCs/>
          <w:i/>
          <w:sz w:val="24"/>
          <w:szCs w:val="24"/>
        </w:rPr>
        <w:t>Race and the Disappointing Right to Counsel</w:t>
      </w:r>
      <w:r w:rsidR="00841AF9">
        <w:rPr>
          <w:bCs/>
          <w:sz w:val="24"/>
          <w:szCs w:val="24"/>
        </w:rPr>
        <w:t xml:space="preserve">, </w:t>
      </w:r>
      <w:r>
        <w:rPr>
          <w:bCs/>
          <w:sz w:val="24"/>
          <w:szCs w:val="24"/>
        </w:rPr>
        <w:t>122</w:t>
      </w:r>
      <w:r w:rsidR="00841AF9">
        <w:rPr>
          <w:bCs/>
          <w:sz w:val="24"/>
          <w:szCs w:val="24"/>
        </w:rPr>
        <w:t xml:space="preserve"> Yale L. J. 2236 (201</w:t>
      </w:r>
      <w:r w:rsidR="00F96926">
        <w:rPr>
          <w:bCs/>
          <w:sz w:val="24"/>
          <w:szCs w:val="24"/>
        </w:rPr>
        <w:t>3</w:t>
      </w:r>
      <w:r w:rsidR="00841AF9">
        <w:rPr>
          <w:bCs/>
          <w:sz w:val="24"/>
          <w:szCs w:val="24"/>
        </w:rPr>
        <w:t>)</w:t>
      </w:r>
    </w:p>
    <w:p w:rsidR="00354A4A" w:rsidRDefault="00354A4A" w:rsidP="00676225">
      <w:pPr>
        <w:tabs>
          <w:tab w:val="left" w:pos="1440"/>
        </w:tabs>
        <w:spacing w:after="0" w:line="240" w:lineRule="auto"/>
        <w:jc w:val="both"/>
        <w:rPr>
          <w:bCs/>
          <w:i/>
          <w:sz w:val="24"/>
          <w:szCs w:val="24"/>
        </w:rPr>
      </w:pPr>
    </w:p>
    <w:p w:rsidR="00A441A0" w:rsidRDefault="00A441A0" w:rsidP="00A441A0">
      <w:pPr>
        <w:tabs>
          <w:tab w:val="left" w:pos="1440"/>
        </w:tabs>
        <w:spacing w:after="0" w:line="240" w:lineRule="auto"/>
        <w:ind w:left="720"/>
        <w:jc w:val="both"/>
        <w:rPr>
          <w:bCs/>
          <w:sz w:val="24"/>
          <w:szCs w:val="24"/>
        </w:rPr>
      </w:pPr>
      <w:r w:rsidRPr="0053207D">
        <w:rPr>
          <w:bCs/>
          <w:i/>
          <w:sz w:val="24"/>
          <w:szCs w:val="24"/>
        </w:rPr>
        <w:t>Gideon v. Wainwright</w:t>
      </w:r>
      <w:r w:rsidRPr="0053207D">
        <w:rPr>
          <w:bCs/>
          <w:sz w:val="24"/>
          <w:szCs w:val="24"/>
        </w:rPr>
        <w:t>, 372 U.S. 335 (1963)</w:t>
      </w:r>
    </w:p>
    <w:p w:rsidR="00A441A0" w:rsidRPr="0053207D" w:rsidRDefault="00A441A0" w:rsidP="00A441A0">
      <w:pPr>
        <w:tabs>
          <w:tab w:val="left" w:pos="1440"/>
        </w:tabs>
        <w:spacing w:after="0" w:line="240" w:lineRule="auto"/>
        <w:ind w:left="720"/>
        <w:jc w:val="both"/>
        <w:rPr>
          <w:bCs/>
          <w:sz w:val="24"/>
          <w:szCs w:val="24"/>
        </w:rPr>
      </w:pPr>
      <w:r>
        <w:rPr>
          <w:bCs/>
          <w:i/>
          <w:sz w:val="24"/>
          <w:szCs w:val="24"/>
        </w:rPr>
        <w:tab/>
      </w:r>
      <w:r w:rsidRPr="0053207D">
        <w:rPr>
          <w:bCs/>
          <w:sz w:val="24"/>
          <w:szCs w:val="24"/>
        </w:rPr>
        <w:t xml:space="preserve">Briefs, excerpted, </w:t>
      </w:r>
      <w:r w:rsidRPr="0053207D">
        <w:rPr>
          <w:bCs/>
          <w:i/>
          <w:sz w:val="24"/>
          <w:szCs w:val="24"/>
        </w:rPr>
        <w:t>Gideon v. Cochran</w:t>
      </w:r>
      <w:r>
        <w:rPr>
          <w:bCs/>
          <w:sz w:val="24"/>
          <w:szCs w:val="24"/>
        </w:rPr>
        <w:t xml:space="preserve">, 372 U.S. 355 (1963) (No. 155): </w:t>
      </w:r>
    </w:p>
    <w:p w:rsidR="00A441A0" w:rsidRPr="0053207D" w:rsidRDefault="00A441A0" w:rsidP="00A441A0">
      <w:pPr>
        <w:tabs>
          <w:tab w:val="left" w:pos="1440"/>
        </w:tabs>
        <w:spacing w:after="0" w:line="240" w:lineRule="auto"/>
        <w:ind w:left="720"/>
        <w:jc w:val="both"/>
        <w:rPr>
          <w:bCs/>
          <w:sz w:val="24"/>
          <w:szCs w:val="24"/>
        </w:rPr>
      </w:pPr>
      <w:r w:rsidRPr="0053207D">
        <w:rPr>
          <w:bCs/>
          <w:sz w:val="24"/>
          <w:szCs w:val="24"/>
        </w:rPr>
        <w:tab/>
        <w:t>Respondent Florida</w:t>
      </w:r>
      <w:r>
        <w:rPr>
          <w:bCs/>
          <w:sz w:val="24"/>
          <w:szCs w:val="24"/>
        </w:rPr>
        <w:t xml:space="preserve">, and </w:t>
      </w:r>
      <w:r w:rsidRPr="0053207D">
        <w:rPr>
          <w:bCs/>
          <w:sz w:val="24"/>
          <w:szCs w:val="24"/>
        </w:rPr>
        <w:t>Alabama as Ami</w:t>
      </w:r>
      <w:r w:rsidR="00B27BBE">
        <w:rPr>
          <w:bCs/>
          <w:sz w:val="24"/>
          <w:szCs w:val="24"/>
        </w:rPr>
        <w:t>ci Curiae Supporting Respondent</w:t>
      </w:r>
    </w:p>
    <w:p w:rsidR="00A441A0" w:rsidRDefault="00A441A0" w:rsidP="00676225">
      <w:pPr>
        <w:tabs>
          <w:tab w:val="left" w:pos="1440"/>
        </w:tabs>
        <w:spacing w:after="0" w:line="240" w:lineRule="auto"/>
        <w:contextualSpacing/>
        <w:jc w:val="both"/>
        <w:rPr>
          <w:sz w:val="24"/>
          <w:szCs w:val="24"/>
        </w:rPr>
      </w:pPr>
    </w:p>
    <w:p w:rsidR="00A441A0" w:rsidRDefault="00A441A0" w:rsidP="00196743">
      <w:pPr>
        <w:tabs>
          <w:tab w:val="left" w:pos="1440"/>
        </w:tabs>
        <w:spacing w:after="0" w:line="240" w:lineRule="auto"/>
        <w:ind w:firstLine="720"/>
        <w:contextualSpacing/>
        <w:jc w:val="both"/>
        <w:rPr>
          <w:sz w:val="24"/>
          <w:szCs w:val="24"/>
        </w:rPr>
      </w:pPr>
      <w:r w:rsidRPr="006B511B">
        <w:rPr>
          <w:i/>
          <w:sz w:val="24"/>
          <w:szCs w:val="24"/>
        </w:rPr>
        <w:t>Miranda v. Arizona</w:t>
      </w:r>
      <w:r w:rsidR="00BF31B4">
        <w:rPr>
          <w:sz w:val="24"/>
          <w:szCs w:val="24"/>
        </w:rPr>
        <w:t xml:space="preserve">, </w:t>
      </w:r>
      <w:r>
        <w:rPr>
          <w:sz w:val="24"/>
          <w:szCs w:val="24"/>
        </w:rPr>
        <w:t>384 U.S. 436 (1966)</w:t>
      </w:r>
    </w:p>
    <w:p w:rsidR="007B62E8" w:rsidRDefault="006B511B" w:rsidP="007B62E8">
      <w:pPr>
        <w:tabs>
          <w:tab w:val="left" w:pos="1440"/>
        </w:tabs>
        <w:spacing w:after="0" w:line="240" w:lineRule="auto"/>
        <w:ind w:left="1440"/>
        <w:contextualSpacing/>
        <w:jc w:val="both"/>
        <w:rPr>
          <w:sz w:val="24"/>
          <w:szCs w:val="24"/>
        </w:rPr>
      </w:pPr>
      <w:r>
        <w:rPr>
          <w:sz w:val="24"/>
          <w:szCs w:val="24"/>
        </w:rPr>
        <w:t>Brief on behalf of Petitioner</w:t>
      </w:r>
      <w:r w:rsidR="00006B04">
        <w:rPr>
          <w:sz w:val="24"/>
          <w:szCs w:val="24"/>
        </w:rPr>
        <w:t xml:space="preserve"> Ernesto A.  Miranda, 1966 WL 100543 (Jan. 19, </w:t>
      </w:r>
      <w:r w:rsidR="007B62E8">
        <w:rPr>
          <w:sz w:val="24"/>
          <w:szCs w:val="24"/>
        </w:rPr>
        <w:t xml:space="preserve">  </w:t>
      </w:r>
    </w:p>
    <w:p w:rsidR="00A441A0" w:rsidRDefault="00BF31B4" w:rsidP="007B62E8">
      <w:pPr>
        <w:tabs>
          <w:tab w:val="left" w:pos="1440"/>
        </w:tabs>
        <w:spacing w:after="0" w:line="240" w:lineRule="auto"/>
        <w:ind w:left="1440"/>
        <w:contextualSpacing/>
        <w:jc w:val="both"/>
        <w:rPr>
          <w:sz w:val="24"/>
          <w:szCs w:val="24"/>
        </w:rPr>
      </w:pPr>
      <w:r>
        <w:rPr>
          <w:sz w:val="24"/>
          <w:szCs w:val="24"/>
        </w:rPr>
        <w:tab/>
      </w:r>
      <w:r w:rsidR="00006B04">
        <w:rPr>
          <w:sz w:val="24"/>
          <w:szCs w:val="24"/>
        </w:rPr>
        <w:t>1966)</w:t>
      </w:r>
    </w:p>
    <w:p w:rsidR="006B511B" w:rsidRDefault="00CF4C8B" w:rsidP="00196743">
      <w:pPr>
        <w:tabs>
          <w:tab w:val="left" w:pos="1440"/>
        </w:tabs>
        <w:spacing w:after="0" w:line="240" w:lineRule="auto"/>
        <w:ind w:firstLine="720"/>
        <w:contextualSpacing/>
        <w:jc w:val="both"/>
        <w:rPr>
          <w:sz w:val="24"/>
          <w:szCs w:val="24"/>
        </w:rPr>
      </w:pPr>
      <w:r>
        <w:rPr>
          <w:sz w:val="24"/>
          <w:szCs w:val="24"/>
        </w:rPr>
        <w:tab/>
        <w:t>Brief on behalf of the State of Arizona, 1966 WL 100544 (</w:t>
      </w:r>
      <w:r w:rsidR="00513DD2">
        <w:rPr>
          <w:sz w:val="24"/>
          <w:szCs w:val="24"/>
        </w:rPr>
        <w:t xml:space="preserve">Feb. 9, </w:t>
      </w:r>
      <w:r>
        <w:rPr>
          <w:sz w:val="24"/>
          <w:szCs w:val="24"/>
        </w:rPr>
        <w:t>1966)</w:t>
      </w:r>
    </w:p>
    <w:p w:rsidR="000238D3" w:rsidRDefault="000238D3" w:rsidP="00676225">
      <w:pPr>
        <w:tabs>
          <w:tab w:val="left" w:pos="1440"/>
        </w:tabs>
        <w:spacing w:after="0" w:line="240" w:lineRule="auto"/>
        <w:contextualSpacing/>
        <w:jc w:val="both"/>
        <w:rPr>
          <w:i/>
          <w:sz w:val="24"/>
          <w:szCs w:val="24"/>
        </w:rPr>
      </w:pPr>
    </w:p>
    <w:p w:rsidR="007B62E8" w:rsidRDefault="00B27BBE" w:rsidP="005D72D6">
      <w:pPr>
        <w:tabs>
          <w:tab w:val="left" w:pos="1440"/>
        </w:tabs>
        <w:spacing w:after="0" w:line="240" w:lineRule="auto"/>
        <w:ind w:firstLine="720"/>
        <w:contextualSpacing/>
        <w:jc w:val="both"/>
        <w:rPr>
          <w:i/>
          <w:sz w:val="24"/>
          <w:szCs w:val="24"/>
        </w:rPr>
      </w:pPr>
      <w:r>
        <w:rPr>
          <w:i/>
          <w:sz w:val="24"/>
          <w:szCs w:val="24"/>
        </w:rPr>
        <w:t>Optional:</w:t>
      </w:r>
    </w:p>
    <w:p w:rsidR="007B62E8" w:rsidRDefault="007B62E8" w:rsidP="007B62E8">
      <w:pPr>
        <w:tabs>
          <w:tab w:val="left" w:pos="1440"/>
        </w:tabs>
        <w:spacing w:after="0" w:line="240" w:lineRule="auto"/>
        <w:ind w:left="720"/>
        <w:jc w:val="both"/>
        <w:rPr>
          <w:bCs/>
          <w:sz w:val="24"/>
          <w:szCs w:val="24"/>
        </w:rPr>
      </w:pPr>
      <w:r>
        <w:rPr>
          <w:i/>
          <w:sz w:val="24"/>
          <w:szCs w:val="24"/>
        </w:rPr>
        <w:tab/>
      </w:r>
      <w:r w:rsidRPr="00354A4A">
        <w:rPr>
          <w:bCs/>
          <w:sz w:val="24"/>
          <w:szCs w:val="24"/>
        </w:rPr>
        <w:t xml:space="preserve">Alexander Holtzoff, </w:t>
      </w:r>
      <w:r w:rsidRPr="00354A4A">
        <w:rPr>
          <w:bCs/>
          <w:i/>
          <w:sz w:val="24"/>
          <w:szCs w:val="24"/>
        </w:rPr>
        <w:t>The Right of Counsel under the Sixth Amendment</w:t>
      </w:r>
      <w:r w:rsidRPr="00354A4A">
        <w:rPr>
          <w:bCs/>
          <w:sz w:val="24"/>
          <w:szCs w:val="24"/>
        </w:rPr>
        <w:t>,</w:t>
      </w:r>
    </w:p>
    <w:p w:rsidR="007B62E8" w:rsidRDefault="00B27BBE" w:rsidP="007B62E8">
      <w:pPr>
        <w:tabs>
          <w:tab w:val="left" w:pos="1440"/>
        </w:tabs>
        <w:spacing w:after="0" w:line="240" w:lineRule="auto"/>
        <w:ind w:left="720"/>
        <w:jc w:val="both"/>
        <w:rPr>
          <w:bCs/>
          <w:sz w:val="24"/>
          <w:szCs w:val="24"/>
        </w:rPr>
      </w:pPr>
      <w:r>
        <w:rPr>
          <w:bCs/>
          <w:sz w:val="24"/>
          <w:szCs w:val="24"/>
        </w:rPr>
        <w:tab/>
      </w:r>
      <w:r>
        <w:rPr>
          <w:bCs/>
          <w:sz w:val="24"/>
          <w:szCs w:val="24"/>
        </w:rPr>
        <w:tab/>
      </w:r>
      <w:r w:rsidR="007B62E8" w:rsidRPr="00354A4A">
        <w:rPr>
          <w:bCs/>
          <w:sz w:val="24"/>
          <w:szCs w:val="24"/>
        </w:rPr>
        <w:t>20 N.Y.U. L. Q. Rev. 1 (1944)</w:t>
      </w:r>
    </w:p>
    <w:p w:rsidR="007B62E8" w:rsidRDefault="007B62E8" w:rsidP="007B62E8">
      <w:pPr>
        <w:tabs>
          <w:tab w:val="left" w:pos="1440"/>
        </w:tabs>
        <w:spacing w:after="0" w:line="240" w:lineRule="auto"/>
        <w:contextualSpacing/>
        <w:jc w:val="both"/>
        <w:rPr>
          <w:i/>
          <w:sz w:val="24"/>
          <w:szCs w:val="24"/>
        </w:rPr>
      </w:pPr>
    </w:p>
    <w:p w:rsidR="007B62E8" w:rsidRDefault="007B62E8" w:rsidP="007B62E8">
      <w:pPr>
        <w:tabs>
          <w:tab w:val="left" w:pos="1440"/>
        </w:tabs>
        <w:spacing w:after="0" w:line="240" w:lineRule="auto"/>
        <w:contextualSpacing/>
        <w:jc w:val="both"/>
        <w:rPr>
          <w:i/>
          <w:sz w:val="24"/>
          <w:szCs w:val="24"/>
        </w:rPr>
      </w:pPr>
      <w:r>
        <w:rPr>
          <w:i/>
          <w:sz w:val="24"/>
          <w:szCs w:val="24"/>
        </w:rPr>
        <w:tab/>
      </w:r>
      <w:r w:rsidR="00010516">
        <w:rPr>
          <w:i/>
          <w:sz w:val="24"/>
          <w:szCs w:val="24"/>
        </w:rPr>
        <w:t>Criminal Defendants’ Rights in Europe</w:t>
      </w:r>
    </w:p>
    <w:p w:rsidR="005D72D6" w:rsidRDefault="007B62E8" w:rsidP="007B62E8">
      <w:pPr>
        <w:tabs>
          <w:tab w:val="left" w:pos="1440"/>
        </w:tabs>
        <w:spacing w:after="0" w:line="240" w:lineRule="auto"/>
        <w:contextualSpacing/>
        <w:jc w:val="both"/>
        <w:rPr>
          <w:sz w:val="24"/>
          <w:szCs w:val="24"/>
        </w:rPr>
      </w:pPr>
      <w:r>
        <w:rPr>
          <w:i/>
          <w:sz w:val="24"/>
          <w:szCs w:val="24"/>
        </w:rPr>
        <w:tab/>
      </w:r>
      <w:r>
        <w:rPr>
          <w:i/>
          <w:sz w:val="24"/>
          <w:szCs w:val="24"/>
        </w:rPr>
        <w:tab/>
      </w:r>
      <w:r w:rsidR="005D72D6" w:rsidRPr="005D72D6">
        <w:rPr>
          <w:i/>
          <w:sz w:val="24"/>
          <w:szCs w:val="24"/>
        </w:rPr>
        <w:t>Ambrose v. Harris</w:t>
      </w:r>
      <w:r w:rsidR="005D72D6">
        <w:rPr>
          <w:sz w:val="24"/>
          <w:szCs w:val="24"/>
        </w:rPr>
        <w:t>, [2011] UKSC 43</w:t>
      </w:r>
    </w:p>
    <w:p w:rsidR="007B62E8" w:rsidRDefault="005D72D6" w:rsidP="007B62E8">
      <w:pPr>
        <w:tabs>
          <w:tab w:val="left" w:pos="1440"/>
        </w:tabs>
        <w:spacing w:after="0" w:line="240" w:lineRule="auto"/>
        <w:ind w:left="2160"/>
        <w:contextualSpacing/>
        <w:jc w:val="both"/>
        <w:rPr>
          <w:sz w:val="24"/>
          <w:szCs w:val="24"/>
        </w:rPr>
      </w:pPr>
      <w:r>
        <w:rPr>
          <w:sz w:val="24"/>
          <w:szCs w:val="24"/>
        </w:rPr>
        <w:t xml:space="preserve">Directive 2013/48/EU of the European Parliament and of the Council of </w:t>
      </w:r>
      <w:r w:rsidR="007B62E8">
        <w:rPr>
          <w:sz w:val="24"/>
          <w:szCs w:val="24"/>
        </w:rPr>
        <w:t xml:space="preserve">   </w:t>
      </w:r>
    </w:p>
    <w:p w:rsidR="007B62E8" w:rsidRDefault="007B62E8" w:rsidP="007B62E8">
      <w:pPr>
        <w:tabs>
          <w:tab w:val="left" w:pos="1440"/>
        </w:tabs>
        <w:spacing w:after="0" w:line="240" w:lineRule="auto"/>
        <w:ind w:left="2160"/>
        <w:contextualSpacing/>
        <w:jc w:val="both"/>
        <w:rPr>
          <w:sz w:val="24"/>
          <w:szCs w:val="24"/>
        </w:rPr>
      </w:pPr>
      <w:r>
        <w:rPr>
          <w:sz w:val="24"/>
          <w:szCs w:val="24"/>
        </w:rPr>
        <w:t xml:space="preserve">     </w:t>
      </w:r>
      <w:r w:rsidR="005D72D6">
        <w:rPr>
          <w:sz w:val="24"/>
          <w:szCs w:val="24"/>
        </w:rPr>
        <w:t>22 October</w:t>
      </w:r>
      <w:r>
        <w:rPr>
          <w:sz w:val="24"/>
          <w:szCs w:val="24"/>
        </w:rPr>
        <w:t xml:space="preserve"> </w:t>
      </w:r>
      <w:r w:rsidR="005D72D6">
        <w:rPr>
          <w:sz w:val="24"/>
          <w:szCs w:val="24"/>
        </w:rPr>
        <w:t xml:space="preserve">2013, on the right of access to a lawyer in criminal </w:t>
      </w:r>
      <w:r>
        <w:rPr>
          <w:sz w:val="24"/>
          <w:szCs w:val="24"/>
        </w:rPr>
        <w:t xml:space="preserve">    </w:t>
      </w:r>
    </w:p>
    <w:p w:rsidR="005D72D6" w:rsidRDefault="007B62E8" w:rsidP="007B62E8">
      <w:pPr>
        <w:tabs>
          <w:tab w:val="left" w:pos="1440"/>
        </w:tabs>
        <w:spacing w:after="0" w:line="240" w:lineRule="auto"/>
        <w:ind w:left="2160"/>
        <w:contextualSpacing/>
        <w:jc w:val="both"/>
        <w:rPr>
          <w:sz w:val="24"/>
          <w:szCs w:val="24"/>
        </w:rPr>
      </w:pPr>
      <w:r>
        <w:rPr>
          <w:sz w:val="24"/>
          <w:szCs w:val="24"/>
        </w:rPr>
        <w:t xml:space="preserve">     </w:t>
      </w:r>
      <w:r w:rsidR="005D72D6">
        <w:rPr>
          <w:sz w:val="24"/>
          <w:szCs w:val="24"/>
        </w:rPr>
        <w:t xml:space="preserve">proceedings, Art. 1-18. </w:t>
      </w:r>
    </w:p>
    <w:p w:rsidR="00611805" w:rsidRDefault="007D2C7C" w:rsidP="007B62E8">
      <w:pPr>
        <w:tabs>
          <w:tab w:val="left" w:pos="1440"/>
        </w:tabs>
        <w:spacing w:after="0" w:line="240" w:lineRule="auto"/>
        <w:ind w:left="2160"/>
        <w:contextualSpacing/>
        <w:jc w:val="both"/>
        <w:rPr>
          <w:i/>
          <w:sz w:val="24"/>
          <w:szCs w:val="24"/>
        </w:rPr>
      </w:pPr>
      <w:r>
        <w:rPr>
          <w:sz w:val="24"/>
          <w:szCs w:val="24"/>
        </w:rPr>
        <w:t xml:space="preserve">Anna Ogorodova &amp; Taru Spronken, </w:t>
      </w:r>
      <w:r w:rsidRPr="00611805">
        <w:rPr>
          <w:i/>
          <w:sz w:val="24"/>
          <w:szCs w:val="24"/>
        </w:rPr>
        <w:t>Legal Advice in Police Custody:</w:t>
      </w:r>
    </w:p>
    <w:p w:rsidR="007D2C7C" w:rsidRDefault="00611805" w:rsidP="007B62E8">
      <w:pPr>
        <w:tabs>
          <w:tab w:val="left" w:pos="1440"/>
        </w:tabs>
        <w:spacing w:after="0" w:line="240" w:lineRule="auto"/>
        <w:ind w:left="2160"/>
        <w:contextualSpacing/>
        <w:jc w:val="both"/>
        <w:rPr>
          <w:sz w:val="24"/>
          <w:szCs w:val="24"/>
        </w:rPr>
      </w:pPr>
      <w:r>
        <w:rPr>
          <w:i/>
          <w:sz w:val="24"/>
          <w:szCs w:val="24"/>
        </w:rPr>
        <w:t xml:space="preserve">   </w:t>
      </w:r>
      <w:r w:rsidR="007D2C7C" w:rsidRPr="00611805">
        <w:rPr>
          <w:i/>
          <w:sz w:val="24"/>
          <w:szCs w:val="24"/>
        </w:rPr>
        <w:t xml:space="preserve"> Fr</w:t>
      </w:r>
      <w:r>
        <w:rPr>
          <w:i/>
          <w:sz w:val="24"/>
          <w:szCs w:val="24"/>
        </w:rPr>
        <w:t>o</w:t>
      </w:r>
      <w:r w:rsidR="007D2C7C" w:rsidRPr="00611805">
        <w:rPr>
          <w:i/>
          <w:sz w:val="24"/>
          <w:szCs w:val="24"/>
        </w:rPr>
        <w:t>m Europe to a Local Police Station</w:t>
      </w:r>
      <w:r w:rsidR="007D2C7C">
        <w:rPr>
          <w:sz w:val="24"/>
          <w:szCs w:val="24"/>
        </w:rPr>
        <w:t>, European L. Rev.  191 (Dec. 2014)</w:t>
      </w:r>
    </w:p>
    <w:p w:rsidR="00664A59" w:rsidRPr="00676225" w:rsidRDefault="00664A59" w:rsidP="00676225">
      <w:pPr>
        <w:tabs>
          <w:tab w:val="left" w:pos="1440"/>
        </w:tabs>
        <w:spacing w:after="0" w:line="240" w:lineRule="auto"/>
        <w:contextualSpacing/>
        <w:jc w:val="both"/>
        <w:rPr>
          <w:rFonts w:asciiTheme="minorHAnsi" w:hAnsiTheme="minorHAnsi" w:cs="Courier New"/>
          <w:sz w:val="24"/>
          <w:szCs w:val="24"/>
          <w:u w:val="single"/>
        </w:rPr>
      </w:pPr>
    </w:p>
    <w:p w:rsidR="00A441A0" w:rsidRDefault="00354A4A" w:rsidP="00DE305E">
      <w:pPr>
        <w:tabs>
          <w:tab w:val="left" w:pos="1440"/>
        </w:tabs>
        <w:spacing w:after="0" w:line="240" w:lineRule="auto"/>
        <w:contextualSpacing/>
        <w:jc w:val="both"/>
        <w:rPr>
          <w:b/>
          <w:sz w:val="28"/>
          <w:szCs w:val="28"/>
        </w:rPr>
      </w:pPr>
      <w:r w:rsidRPr="000238D3">
        <w:rPr>
          <w:b/>
          <w:sz w:val="28"/>
          <w:szCs w:val="28"/>
        </w:rPr>
        <w:t xml:space="preserve">February </w:t>
      </w:r>
      <w:r w:rsidR="00392E0C">
        <w:rPr>
          <w:b/>
          <w:sz w:val="28"/>
          <w:szCs w:val="28"/>
        </w:rPr>
        <w:t>16</w:t>
      </w:r>
      <w:r w:rsidRPr="000238D3">
        <w:rPr>
          <w:b/>
          <w:sz w:val="28"/>
          <w:szCs w:val="28"/>
        </w:rPr>
        <w:t xml:space="preserve"> (Class 3):</w:t>
      </w:r>
      <w:r w:rsidR="00F23B3F">
        <w:rPr>
          <w:b/>
          <w:sz w:val="28"/>
          <w:szCs w:val="28"/>
        </w:rPr>
        <w:t xml:space="preserve"> </w:t>
      </w:r>
      <w:r w:rsidR="00705964">
        <w:rPr>
          <w:b/>
          <w:sz w:val="28"/>
          <w:szCs w:val="28"/>
        </w:rPr>
        <w:t xml:space="preserve"> </w:t>
      </w:r>
      <w:r w:rsidR="00DE305E">
        <w:rPr>
          <w:b/>
          <w:sz w:val="28"/>
          <w:szCs w:val="28"/>
        </w:rPr>
        <w:t>“</w:t>
      </w:r>
      <w:r w:rsidR="004B1BF2">
        <w:rPr>
          <w:b/>
          <w:sz w:val="28"/>
          <w:szCs w:val="28"/>
        </w:rPr>
        <w:t>Effective</w:t>
      </w:r>
      <w:r w:rsidR="00DE305E">
        <w:rPr>
          <w:b/>
          <w:sz w:val="28"/>
          <w:szCs w:val="28"/>
        </w:rPr>
        <w:t>”</w:t>
      </w:r>
      <w:r w:rsidR="004B1BF2">
        <w:rPr>
          <w:b/>
          <w:sz w:val="28"/>
          <w:szCs w:val="28"/>
        </w:rPr>
        <w:t xml:space="preserve"> Assistance for Criminal Defenda</w:t>
      </w:r>
      <w:r w:rsidR="00DE305E">
        <w:rPr>
          <w:b/>
          <w:sz w:val="28"/>
          <w:szCs w:val="28"/>
        </w:rPr>
        <w:t>nts</w:t>
      </w:r>
    </w:p>
    <w:p w:rsidR="00354A4A" w:rsidRDefault="00753C82" w:rsidP="00753C82">
      <w:pPr>
        <w:tabs>
          <w:tab w:val="left" w:pos="720"/>
          <w:tab w:val="left" w:pos="1440"/>
        </w:tabs>
        <w:spacing w:after="0" w:line="240" w:lineRule="auto"/>
        <w:contextualSpacing/>
        <w:rPr>
          <w:sz w:val="24"/>
          <w:szCs w:val="24"/>
        </w:rPr>
      </w:pPr>
      <w:r>
        <w:rPr>
          <w:sz w:val="24"/>
          <w:szCs w:val="24"/>
        </w:rPr>
        <w:tab/>
        <w:t xml:space="preserve">What does the right to counsel </w:t>
      </w:r>
      <w:r w:rsidR="00611805">
        <w:rPr>
          <w:sz w:val="24"/>
          <w:szCs w:val="24"/>
        </w:rPr>
        <w:t xml:space="preserve">mean?  Questions include whether the right includes all criminal defendants or only those facing jail terms, when the right “attaches,” and whether it entails a certain level of quality.  The issues can emerge before or after trial, and thus another question is whether the right to a lawyer is independent of the outcome achieved by a less than competent lawyer.  As you read the case law, consider: How is a lawyer’s performance judged?  What monitoring mechanisms exist? What legal rules create incentives and mechanisms to monitor quality?   </w:t>
      </w:r>
      <w:r>
        <w:rPr>
          <w:sz w:val="24"/>
          <w:szCs w:val="24"/>
        </w:rPr>
        <w:t xml:space="preserve">What </w:t>
      </w:r>
      <w:r w:rsidR="00611805">
        <w:rPr>
          <w:sz w:val="24"/>
          <w:szCs w:val="24"/>
        </w:rPr>
        <w:t xml:space="preserve">remedies are </w:t>
      </w:r>
      <w:r>
        <w:rPr>
          <w:sz w:val="24"/>
          <w:szCs w:val="24"/>
        </w:rPr>
        <w:t xml:space="preserve">appropriate </w:t>
      </w:r>
      <w:r w:rsidR="00611805">
        <w:rPr>
          <w:sz w:val="24"/>
          <w:szCs w:val="24"/>
        </w:rPr>
        <w:t>if a lawyer is found to be ineffective? What are the sources of the challenges to fulfill</w:t>
      </w:r>
      <w:r w:rsidR="00572093">
        <w:rPr>
          <w:sz w:val="24"/>
          <w:szCs w:val="24"/>
        </w:rPr>
        <w:t xml:space="preserve"> </w:t>
      </w:r>
      <w:r w:rsidR="00572093" w:rsidRPr="00572093">
        <w:rPr>
          <w:i/>
          <w:sz w:val="24"/>
          <w:szCs w:val="24"/>
        </w:rPr>
        <w:t>Gideon</w:t>
      </w:r>
      <w:r w:rsidR="00B27BBE">
        <w:rPr>
          <w:sz w:val="24"/>
          <w:szCs w:val="24"/>
        </w:rPr>
        <w:t>’s “promise</w:t>
      </w:r>
      <w:r w:rsidR="00611805">
        <w:rPr>
          <w:sz w:val="24"/>
          <w:szCs w:val="24"/>
        </w:rPr>
        <w:t>”</w:t>
      </w:r>
      <w:r w:rsidR="00B27BBE">
        <w:rPr>
          <w:sz w:val="24"/>
          <w:szCs w:val="24"/>
        </w:rPr>
        <w:t>?</w:t>
      </w:r>
      <w:r w:rsidR="00611805">
        <w:rPr>
          <w:sz w:val="24"/>
          <w:szCs w:val="24"/>
        </w:rPr>
        <w:t xml:space="preserve">  What responses are p</w:t>
      </w:r>
      <w:r w:rsidR="00B27BBE">
        <w:rPr>
          <w:sz w:val="24"/>
          <w:szCs w:val="24"/>
        </w:rPr>
        <w:t>lausible, desirable, and legal?</w:t>
      </w:r>
    </w:p>
    <w:p w:rsidR="00753C82" w:rsidRDefault="00753C82" w:rsidP="00676225">
      <w:pPr>
        <w:tabs>
          <w:tab w:val="left" w:pos="1440"/>
        </w:tabs>
        <w:spacing w:after="0" w:line="240" w:lineRule="auto"/>
        <w:contextualSpacing/>
        <w:jc w:val="both"/>
        <w:rPr>
          <w:i/>
          <w:sz w:val="24"/>
          <w:szCs w:val="24"/>
        </w:rPr>
      </w:pPr>
    </w:p>
    <w:p w:rsidR="007B62E8" w:rsidRPr="000875F5" w:rsidRDefault="005F5E7B" w:rsidP="00472A88">
      <w:pPr>
        <w:tabs>
          <w:tab w:val="left" w:pos="1440"/>
        </w:tabs>
        <w:spacing w:after="0" w:line="240" w:lineRule="auto"/>
        <w:ind w:left="720"/>
        <w:contextualSpacing/>
        <w:jc w:val="both"/>
        <w:rPr>
          <w:b/>
          <w:sz w:val="24"/>
          <w:szCs w:val="24"/>
        </w:rPr>
      </w:pPr>
      <w:r w:rsidRPr="005F5E7B">
        <w:rPr>
          <w:i/>
          <w:sz w:val="24"/>
          <w:szCs w:val="24"/>
        </w:rPr>
        <w:t>Strickland v. Washington</w:t>
      </w:r>
      <w:r w:rsidR="00767B8F">
        <w:rPr>
          <w:sz w:val="24"/>
          <w:szCs w:val="24"/>
        </w:rPr>
        <w:t>,</w:t>
      </w:r>
      <w:r>
        <w:rPr>
          <w:sz w:val="24"/>
          <w:szCs w:val="24"/>
        </w:rPr>
        <w:t xml:space="preserve"> 466 </w:t>
      </w:r>
      <w:r w:rsidR="007B62E8">
        <w:rPr>
          <w:sz w:val="24"/>
          <w:szCs w:val="24"/>
        </w:rPr>
        <w:t xml:space="preserve">U.S. 668 </w:t>
      </w:r>
      <w:r>
        <w:rPr>
          <w:sz w:val="24"/>
          <w:szCs w:val="24"/>
        </w:rPr>
        <w:t>(1984)</w:t>
      </w:r>
    </w:p>
    <w:p w:rsidR="007B62E8" w:rsidRDefault="007B62E8" w:rsidP="00676225">
      <w:pPr>
        <w:tabs>
          <w:tab w:val="left" w:pos="1440"/>
        </w:tabs>
        <w:spacing w:after="0" w:line="240" w:lineRule="auto"/>
        <w:contextualSpacing/>
        <w:jc w:val="both"/>
        <w:rPr>
          <w:sz w:val="24"/>
          <w:szCs w:val="24"/>
        </w:rPr>
      </w:pPr>
    </w:p>
    <w:p w:rsidR="007B62E8" w:rsidRDefault="00F96926" w:rsidP="007B62E8">
      <w:pPr>
        <w:tabs>
          <w:tab w:val="left" w:pos="1440"/>
        </w:tabs>
        <w:spacing w:after="0" w:line="240" w:lineRule="auto"/>
        <w:ind w:firstLine="720"/>
        <w:contextualSpacing/>
        <w:jc w:val="both"/>
        <w:rPr>
          <w:sz w:val="24"/>
          <w:szCs w:val="24"/>
        </w:rPr>
      </w:pPr>
      <w:r>
        <w:rPr>
          <w:sz w:val="24"/>
          <w:szCs w:val="24"/>
        </w:rPr>
        <w:t xml:space="preserve">Stephen B. Bright &amp; Sia M. Sanneh, </w:t>
      </w:r>
      <w:r w:rsidRPr="00017D48">
        <w:rPr>
          <w:i/>
          <w:sz w:val="24"/>
          <w:szCs w:val="24"/>
        </w:rPr>
        <w:t>Fifty Years of Defiance and Resistance after</w:t>
      </w:r>
      <w:r>
        <w:rPr>
          <w:sz w:val="24"/>
          <w:szCs w:val="24"/>
        </w:rPr>
        <w:t xml:space="preserve"> Gideon</w:t>
      </w:r>
    </w:p>
    <w:p w:rsidR="00F96926" w:rsidRDefault="007B62E8" w:rsidP="00611805">
      <w:pPr>
        <w:tabs>
          <w:tab w:val="left" w:pos="1440"/>
        </w:tabs>
        <w:spacing w:after="0" w:line="240" w:lineRule="auto"/>
        <w:ind w:firstLine="720"/>
        <w:contextualSpacing/>
        <w:jc w:val="both"/>
        <w:rPr>
          <w:sz w:val="24"/>
          <w:szCs w:val="24"/>
        </w:rPr>
      </w:pPr>
      <w:r>
        <w:rPr>
          <w:sz w:val="24"/>
          <w:szCs w:val="24"/>
        </w:rPr>
        <w:t xml:space="preserve">     </w:t>
      </w:r>
      <w:r w:rsidR="00BF31B4">
        <w:rPr>
          <w:sz w:val="24"/>
          <w:szCs w:val="24"/>
        </w:rPr>
        <w:tab/>
      </w:r>
      <w:r>
        <w:rPr>
          <w:sz w:val="24"/>
          <w:szCs w:val="24"/>
        </w:rPr>
        <w:t xml:space="preserve">v. </w:t>
      </w:r>
      <w:r w:rsidR="00F96926">
        <w:rPr>
          <w:sz w:val="24"/>
          <w:szCs w:val="24"/>
        </w:rPr>
        <w:t>Wainwright, 122 Yale L. J. 2150</w:t>
      </w:r>
      <w:r w:rsidR="00D63154">
        <w:rPr>
          <w:sz w:val="24"/>
          <w:szCs w:val="24"/>
        </w:rPr>
        <w:t>, 2160-2171</w:t>
      </w:r>
      <w:r w:rsidR="00F96926">
        <w:rPr>
          <w:sz w:val="24"/>
          <w:szCs w:val="24"/>
        </w:rPr>
        <w:t xml:space="preserve"> (2013)</w:t>
      </w:r>
    </w:p>
    <w:p w:rsidR="00611805" w:rsidRDefault="00611805" w:rsidP="00676225">
      <w:pPr>
        <w:tabs>
          <w:tab w:val="left" w:pos="1440"/>
        </w:tabs>
        <w:spacing w:after="0" w:line="240" w:lineRule="auto"/>
        <w:contextualSpacing/>
        <w:jc w:val="both"/>
        <w:rPr>
          <w:sz w:val="24"/>
          <w:szCs w:val="24"/>
        </w:rPr>
      </w:pPr>
    </w:p>
    <w:p w:rsidR="005F5E7B" w:rsidRDefault="005F5E7B" w:rsidP="005F5E7B">
      <w:pPr>
        <w:tabs>
          <w:tab w:val="left" w:pos="1440"/>
        </w:tabs>
        <w:spacing w:after="0" w:line="240" w:lineRule="auto"/>
        <w:ind w:left="2520" w:hanging="1800"/>
        <w:jc w:val="both"/>
        <w:rPr>
          <w:bCs/>
          <w:sz w:val="24"/>
          <w:szCs w:val="24"/>
        </w:rPr>
      </w:pPr>
      <w:r w:rsidRPr="0053207D">
        <w:rPr>
          <w:bCs/>
          <w:i/>
          <w:sz w:val="24"/>
          <w:szCs w:val="24"/>
        </w:rPr>
        <w:t xml:space="preserve">Hurrell-Harring et al., v. </w:t>
      </w:r>
      <w:r>
        <w:rPr>
          <w:bCs/>
          <w:i/>
          <w:sz w:val="24"/>
          <w:szCs w:val="24"/>
        </w:rPr>
        <w:t>State</w:t>
      </w:r>
      <w:r w:rsidRPr="0053207D">
        <w:rPr>
          <w:bCs/>
          <w:i/>
          <w:sz w:val="24"/>
          <w:szCs w:val="24"/>
        </w:rPr>
        <w:t>,</w:t>
      </w:r>
      <w:r w:rsidR="00B27BBE">
        <w:rPr>
          <w:bCs/>
          <w:sz w:val="24"/>
          <w:szCs w:val="24"/>
        </w:rPr>
        <w:t xml:space="preserve"> 15 N.Y.3d 8 (May 6, 2010)</w:t>
      </w:r>
    </w:p>
    <w:p w:rsidR="00F96926" w:rsidRPr="00F96926" w:rsidRDefault="00F96926" w:rsidP="005F5E7B">
      <w:pPr>
        <w:tabs>
          <w:tab w:val="left" w:pos="1440"/>
        </w:tabs>
        <w:spacing w:after="0" w:line="240" w:lineRule="auto"/>
        <w:ind w:left="2520" w:hanging="1800"/>
        <w:jc w:val="both"/>
        <w:rPr>
          <w:bCs/>
          <w:sz w:val="24"/>
          <w:szCs w:val="24"/>
        </w:rPr>
      </w:pPr>
      <w:r>
        <w:rPr>
          <w:bCs/>
          <w:i/>
          <w:sz w:val="24"/>
          <w:szCs w:val="24"/>
        </w:rPr>
        <w:t xml:space="preserve"> </w:t>
      </w:r>
      <w:r w:rsidRPr="00F96926">
        <w:rPr>
          <w:bCs/>
          <w:sz w:val="24"/>
          <w:szCs w:val="24"/>
        </w:rPr>
        <w:t xml:space="preserve"> </w:t>
      </w:r>
      <w:r>
        <w:rPr>
          <w:bCs/>
          <w:sz w:val="24"/>
          <w:szCs w:val="24"/>
        </w:rPr>
        <w:t xml:space="preserve">  </w:t>
      </w:r>
      <w:r w:rsidR="007B62E8">
        <w:rPr>
          <w:bCs/>
          <w:sz w:val="24"/>
          <w:szCs w:val="24"/>
        </w:rPr>
        <w:tab/>
      </w:r>
      <w:r w:rsidRPr="00F96926">
        <w:rPr>
          <w:bCs/>
          <w:sz w:val="24"/>
          <w:szCs w:val="24"/>
        </w:rPr>
        <w:t>Statement of Interest of the United States,</w:t>
      </w:r>
      <w:r w:rsidR="00D3627D">
        <w:rPr>
          <w:bCs/>
          <w:sz w:val="24"/>
          <w:szCs w:val="24"/>
        </w:rPr>
        <w:t xml:space="preserve"> </w:t>
      </w:r>
      <w:r w:rsidRPr="00F96926">
        <w:rPr>
          <w:bCs/>
          <w:sz w:val="24"/>
          <w:szCs w:val="24"/>
        </w:rPr>
        <w:t>filed Sept. 25, 2014</w:t>
      </w:r>
    </w:p>
    <w:p w:rsidR="005F5E7B" w:rsidRDefault="005F5E7B" w:rsidP="00196743">
      <w:pPr>
        <w:tabs>
          <w:tab w:val="left" w:pos="1440"/>
        </w:tabs>
        <w:spacing w:after="0" w:line="240" w:lineRule="auto"/>
        <w:ind w:firstLine="720"/>
        <w:contextualSpacing/>
        <w:jc w:val="both"/>
        <w:rPr>
          <w:sz w:val="24"/>
          <w:szCs w:val="24"/>
        </w:rPr>
      </w:pPr>
      <w:r w:rsidRPr="00F96926">
        <w:rPr>
          <w:sz w:val="24"/>
          <w:szCs w:val="24"/>
        </w:rPr>
        <w:t xml:space="preserve"> </w:t>
      </w:r>
      <w:r>
        <w:rPr>
          <w:sz w:val="24"/>
          <w:szCs w:val="24"/>
        </w:rPr>
        <w:t xml:space="preserve">   </w:t>
      </w:r>
      <w:r w:rsidR="007B62E8">
        <w:rPr>
          <w:sz w:val="24"/>
          <w:szCs w:val="24"/>
        </w:rPr>
        <w:tab/>
      </w:r>
      <w:r>
        <w:rPr>
          <w:sz w:val="24"/>
          <w:szCs w:val="24"/>
        </w:rPr>
        <w:t xml:space="preserve">Stipulation </w:t>
      </w:r>
      <w:r w:rsidR="00C94128">
        <w:rPr>
          <w:sz w:val="24"/>
          <w:szCs w:val="24"/>
        </w:rPr>
        <w:t>and Order of Settlement, Oct. 21, 2014</w:t>
      </w:r>
    </w:p>
    <w:p w:rsidR="007B62E8" w:rsidRDefault="007B62E8" w:rsidP="007B62E8">
      <w:pPr>
        <w:tabs>
          <w:tab w:val="left" w:pos="720"/>
          <w:tab w:val="left" w:pos="1440"/>
        </w:tabs>
        <w:spacing w:after="0" w:line="240" w:lineRule="auto"/>
        <w:contextualSpacing/>
        <w:jc w:val="both"/>
        <w:rPr>
          <w:sz w:val="24"/>
          <w:szCs w:val="24"/>
        </w:rPr>
      </w:pPr>
    </w:p>
    <w:p w:rsidR="007B62E8" w:rsidRDefault="007B62E8" w:rsidP="007B62E8">
      <w:pPr>
        <w:tabs>
          <w:tab w:val="left" w:pos="720"/>
          <w:tab w:val="left" w:pos="1440"/>
        </w:tabs>
        <w:spacing w:after="0" w:line="240" w:lineRule="auto"/>
        <w:contextualSpacing/>
        <w:jc w:val="both"/>
        <w:rPr>
          <w:i/>
          <w:sz w:val="24"/>
          <w:szCs w:val="24"/>
        </w:rPr>
      </w:pPr>
      <w:r>
        <w:rPr>
          <w:sz w:val="24"/>
          <w:szCs w:val="24"/>
        </w:rPr>
        <w:tab/>
      </w:r>
      <w:r w:rsidR="00017D48" w:rsidRPr="003A40F5">
        <w:rPr>
          <w:sz w:val="24"/>
          <w:szCs w:val="24"/>
        </w:rPr>
        <w:t xml:space="preserve">Darryl K. Brown, </w:t>
      </w:r>
      <w:r w:rsidR="00017D48" w:rsidRPr="006A0CA2">
        <w:rPr>
          <w:i/>
          <w:sz w:val="24"/>
          <w:szCs w:val="24"/>
        </w:rPr>
        <w:t>Rationing Criminal Defense</w:t>
      </w:r>
      <w:r w:rsidR="00B27BBE">
        <w:rPr>
          <w:i/>
          <w:sz w:val="24"/>
          <w:szCs w:val="24"/>
        </w:rPr>
        <w:t xml:space="preserve"> Entitlements: An Argument from</w:t>
      </w:r>
    </w:p>
    <w:p w:rsidR="00017D48" w:rsidRDefault="00BF31B4" w:rsidP="007B62E8">
      <w:pPr>
        <w:tabs>
          <w:tab w:val="left" w:pos="720"/>
          <w:tab w:val="left" w:pos="1440"/>
        </w:tabs>
        <w:spacing w:after="0" w:line="240" w:lineRule="auto"/>
        <w:contextualSpacing/>
        <w:jc w:val="both"/>
        <w:rPr>
          <w:sz w:val="24"/>
          <w:szCs w:val="24"/>
        </w:rPr>
      </w:pPr>
      <w:r>
        <w:rPr>
          <w:i/>
          <w:sz w:val="24"/>
          <w:szCs w:val="24"/>
        </w:rPr>
        <w:tab/>
      </w:r>
      <w:r>
        <w:rPr>
          <w:i/>
          <w:sz w:val="24"/>
          <w:szCs w:val="24"/>
        </w:rPr>
        <w:tab/>
      </w:r>
      <w:r w:rsidR="00017D48" w:rsidRPr="006A0CA2">
        <w:rPr>
          <w:i/>
          <w:sz w:val="24"/>
          <w:szCs w:val="24"/>
        </w:rPr>
        <w:t>Institutional Design</w:t>
      </w:r>
      <w:r w:rsidR="00017D48" w:rsidRPr="003A40F5">
        <w:rPr>
          <w:sz w:val="24"/>
          <w:szCs w:val="24"/>
        </w:rPr>
        <w:t>, 104 CO</w:t>
      </w:r>
      <w:r w:rsidR="00B27BBE">
        <w:rPr>
          <w:sz w:val="24"/>
          <w:szCs w:val="24"/>
        </w:rPr>
        <w:t>LUM. L. REV. 801, 834-35 (2004)</w:t>
      </w:r>
    </w:p>
    <w:p w:rsidR="00963B5E" w:rsidRDefault="00963B5E" w:rsidP="007B62E8">
      <w:pPr>
        <w:tabs>
          <w:tab w:val="left" w:pos="720"/>
          <w:tab w:val="left" w:pos="1440"/>
        </w:tabs>
        <w:spacing w:after="0" w:line="240" w:lineRule="auto"/>
        <w:contextualSpacing/>
        <w:jc w:val="both"/>
        <w:rPr>
          <w:sz w:val="24"/>
          <w:szCs w:val="24"/>
        </w:rPr>
      </w:pPr>
    </w:p>
    <w:p w:rsidR="00963B5E" w:rsidRPr="00963B5E" w:rsidRDefault="00963B5E" w:rsidP="00963B5E">
      <w:pPr>
        <w:tabs>
          <w:tab w:val="left" w:pos="1440"/>
        </w:tabs>
        <w:spacing w:after="0" w:line="240" w:lineRule="auto"/>
        <w:ind w:left="1440" w:hanging="720"/>
        <w:contextualSpacing/>
        <w:rPr>
          <w:i/>
          <w:sz w:val="24"/>
          <w:szCs w:val="24"/>
        </w:rPr>
      </w:pPr>
      <w:r w:rsidRPr="00963B5E">
        <w:rPr>
          <w:sz w:val="24"/>
          <w:szCs w:val="24"/>
        </w:rPr>
        <w:t xml:space="preserve">Lauren Sudeall Lucas, </w:t>
      </w:r>
      <w:r w:rsidRPr="00963B5E">
        <w:rPr>
          <w:i/>
          <w:sz w:val="24"/>
          <w:szCs w:val="24"/>
        </w:rPr>
        <w:t xml:space="preserve">Lawyering to the Lowest Common Denominator:  </w:t>
      </w:r>
    </w:p>
    <w:p w:rsidR="00963B5E" w:rsidRPr="00963B5E" w:rsidRDefault="00963B5E" w:rsidP="00963B5E">
      <w:pPr>
        <w:tabs>
          <w:tab w:val="left" w:pos="1440"/>
        </w:tabs>
        <w:spacing w:after="0" w:line="240" w:lineRule="auto"/>
        <w:ind w:left="1440" w:hanging="720"/>
        <w:contextualSpacing/>
        <w:rPr>
          <w:i/>
          <w:sz w:val="24"/>
          <w:szCs w:val="24"/>
        </w:rPr>
      </w:pPr>
      <w:r w:rsidRPr="00963B5E">
        <w:rPr>
          <w:i/>
          <w:sz w:val="24"/>
          <w:szCs w:val="24"/>
        </w:rPr>
        <w:t xml:space="preserve">      </w:t>
      </w:r>
      <w:r w:rsidRPr="00963B5E">
        <w:rPr>
          <w:i/>
          <w:sz w:val="24"/>
          <w:szCs w:val="24"/>
        </w:rPr>
        <w:tab/>
      </w:r>
      <w:r w:rsidRPr="00963B5E">
        <w:rPr>
          <w:sz w:val="24"/>
          <w:szCs w:val="24"/>
        </w:rPr>
        <w:t>Strickland</w:t>
      </w:r>
      <w:r w:rsidRPr="00963B5E">
        <w:rPr>
          <w:i/>
          <w:sz w:val="24"/>
          <w:szCs w:val="24"/>
        </w:rPr>
        <w:t xml:space="preserve">’s Potential for Incorporating Underfunded Norms into Legal </w:t>
      </w:r>
    </w:p>
    <w:p w:rsidR="00963B5E" w:rsidRPr="0011323E" w:rsidRDefault="00963B5E" w:rsidP="00963B5E">
      <w:pPr>
        <w:tabs>
          <w:tab w:val="left" w:pos="1440"/>
        </w:tabs>
        <w:spacing w:after="0" w:line="240" w:lineRule="auto"/>
        <w:ind w:left="1440" w:hanging="720"/>
        <w:contextualSpacing/>
        <w:rPr>
          <w:sz w:val="24"/>
          <w:szCs w:val="24"/>
        </w:rPr>
      </w:pPr>
      <w:r w:rsidRPr="00963B5E">
        <w:rPr>
          <w:i/>
          <w:sz w:val="24"/>
          <w:szCs w:val="24"/>
        </w:rPr>
        <w:t xml:space="preserve">     </w:t>
      </w:r>
      <w:r w:rsidRPr="00963B5E">
        <w:rPr>
          <w:i/>
          <w:sz w:val="24"/>
          <w:szCs w:val="24"/>
        </w:rPr>
        <w:tab/>
        <w:t xml:space="preserve"> Doctrine, </w:t>
      </w:r>
      <w:r w:rsidRPr="00963B5E">
        <w:rPr>
          <w:sz w:val="24"/>
          <w:szCs w:val="24"/>
        </w:rPr>
        <w:t>5 Faulkner L. Rev. 199 (2014)</w:t>
      </w:r>
    </w:p>
    <w:p w:rsidR="00017D48" w:rsidRDefault="00017D48" w:rsidP="00676225">
      <w:pPr>
        <w:tabs>
          <w:tab w:val="left" w:pos="1440"/>
        </w:tabs>
        <w:spacing w:after="0" w:line="240" w:lineRule="auto"/>
        <w:contextualSpacing/>
        <w:jc w:val="both"/>
        <w:rPr>
          <w:sz w:val="24"/>
          <w:szCs w:val="24"/>
        </w:rPr>
      </w:pPr>
    </w:p>
    <w:p w:rsidR="007B62E8" w:rsidRPr="00D3627D" w:rsidRDefault="00F96926" w:rsidP="00196743">
      <w:pPr>
        <w:tabs>
          <w:tab w:val="left" w:pos="1440"/>
        </w:tabs>
        <w:spacing w:after="0" w:line="240" w:lineRule="auto"/>
        <w:ind w:firstLine="720"/>
        <w:contextualSpacing/>
        <w:jc w:val="both"/>
        <w:rPr>
          <w:i/>
          <w:sz w:val="24"/>
          <w:szCs w:val="24"/>
        </w:rPr>
      </w:pPr>
      <w:r w:rsidRPr="00D3627D">
        <w:rPr>
          <w:i/>
          <w:sz w:val="24"/>
          <w:szCs w:val="24"/>
        </w:rPr>
        <w:t xml:space="preserve">Optional: </w:t>
      </w:r>
    </w:p>
    <w:p w:rsidR="00C94128" w:rsidRDefault="00D3627D" w:rsidP="00D3627D">
      <w:pPr>
        <w:tabs>
          <w:tab w:val="left" w:pos="1440"/>
        </w:tabs>
        <w:spacing w:after="0" w:line="240" w:lineRule="auto"/>
        <w:contextualSpacing/>
        <w:jc w:val="both"/>
        <w:rPr>
          <w:i/>
          <w:sz w:val="24"/>
          <w:szCs w:val="24"/>
        </w:rPr>
      </w:pPr>
      <w:r>
        <w:rPr>
          <w:sz w:val="24"/>
          <w:szCs w:val="24"/>
        </w:rPr>
        <w:tab/>
      </w:r>
      <w:r w:rsidR="00C94128">
        <w:rPr>
          <w:sz w:val="24"/>
          <w:szCs w:val="24"/>
        </w:rPr>
        <w:t xml:space="preserve">Sara Mayeux, </w:t>
      </w:r>
      <w:r w:rsidR="00C94128" w:rsidRPr="00C94128">
        <w:rPr>
          <w:i/>
          <w:sz w:val="24"/>
          <w:szCs w:val="24"/>
        </w:rPr>
        <w:t>Ineffective Assistance of Counsel before Powell v. Alabama:</w:t>
      </w:r>
    </w:p>
    <w:p w:rsidR="00136A3F" w:rsidRPr="00516FDD" w:rsidRDefault="00C94128" w:rsidP="00516FDD">
      <w:pPr>
        <w:tabs>
          <w:tab w:val="left" w:pos="1440"/>
        </w:tabs>
        <w:spacing w:after="0" w:line="240" w:lineRule="auto"/>
        <w:ind w:left="2160"/>
        <w:contextualSpacing/>
        <w:rPr>
          <w:sz w:val="24"/>
          <w:szCs w:val="24"/>
        </w:rPr>
      </w:pPr>
      <w:r w:rsidRPr="00C94128">
        <w:rPr>
          <w:i/>
          <w:sz w:val="24"/>
          <w:szCs w:val="24"/>
        </w:rPr>
        <w:t>Lessons from History for the Future of the Right to Counsel</w:t>
      </w:r>
      <w:r>
        <w:rPr>
          <w:sz w:val="24"/>
          <w:szCs w:val="24"/>
        </w:rPr>
        <w:t>, 99 Iowa L. Rev.</w:t>
      </w:r>
      <w:r w:rsidR="00BF31B4">
        <w:rPr>
          <w:sz w:val="24"/>
          <w:szCs w:val="24"/>
        </w:rPr>
        <w:t xml:space="preserve"> </w:t>
      </w:r>
      <w:r>
        <w:rPr>
          <w:sz w:val="24"/>
          <w:szCs w:val="24"/>
        </w:rPr>
        <w:t>216</w:t>
      </w:r>
      <w:r w:rsidR="00D3627D">
        <w:rPr>
          <w:sz w:val="24"/>
          <w:szCs w:val="24"/>
        </w:rPr>
        <w:t xml:space="preserve">1 </w:t>
      </w:r>
      <w:r w:rsidR="007B62E8" w:rsidRPr="00D3627D">
        <w:rPr>
          <w:sz w:val="24"/>
          <w:szCs w:val="24"/>
        </w:rPr>
        <w:t>(</w:t>
      </w:r>
      <w:r>
        <w:rPr>
          <w:sz w:val="24"/>
          <w:szCs w:val="24"/>
        </w:rPr>
        <w:t>2014)</w:t>
      </w:r>
      <w:r>
        <w:rPr>
          <w:sz w:val="24"/>
          <w:szCs w:val="24"/>
        </w:rPr>
        <w:br/>
      </w:r>
    </w:p>
    <w:p w:rsidR="00A441A0" w:rsidRPr="000238D3" w:rsidRDefault="005F5E7B" w:rsidP="005F5E7B">
      <w:pPr>
        <w:tabs>
          <w:tab w:val="left" w:pos="1440"/>
        </w:tabs>
        <w:spacing w:after="0" w:line="240" w:lineRule="auto"/>
        <w:contextualSpacing/>
        <w:jc w:val="both"/>
        <w:rPr>
          <w:b/>
          <w:sz w:val="28"/>
          <w:szCs w:val="28"/>
        </w:rPr>
      </w:pPr>
      <w:r w:rsidRPr="000238D3">
        <w:rPr>
          <w:b/>
          <w:sz w:val="28"/>
          <w:szCs w:val="28"/>
        </w:rPr>
        <w:t xml:space="preserve">February </w:t>
      </w:r>
      <w:r w:rsidR="00392E0C">
        <w:rPr>
          <w:b/>
          <w:sz w:val="28"/>
          <w:szCs w:val="28"/>
        </w:rPr>
        <w:t>23</w:t>
      </w:r>
      <w:r w:rsidRPr="000238D3">
        <w:rPr>
          <w:b/>
          <w:sz w:val="28"/>
          <w:szCs w:val="28"/>
        </w:rPr>
        <w:t xml:space="preserve"> (</w:t>
      </w:r>
      <w:r w:rsidR="00A441A0" w:rsidRPr="000238D3">
        <w:rPr>
          <w:b/>
          <w:sz w:val="28"/>
          <w:szCs w:val="28"/>
        </w:rPr>
        <w:t>Class 4</w:t>
      </w:r>
      <w:r w:rsidRPr="000238D3">
        <w:rPr>
          <w:b/>
          <w:sz w:val="28"/>
          <w:szCs w:val="28"/>
        </w:rPr>
        <w:t>)</w:t>
      </w:r>
      <w:r w:rsidR="004B1BF2">
        <w:rPr>
          <w:b/>
          <w:sz w:val="28"/>
          <w:szCs w:val="28"/>
        </w:rPr>
        <w:t>:</w:t>
      </w:r>
      <w:r w:rsidR="00705964">
        <w:rPr>
          <w:b/>
          <w:sz w:val="28"/>
          <w:szCs w:val="28"/>
        </w:rPr>
        <w:t xml:space="preserve"> </w:t>
      </w:r>
      <w:r w:rsidR="00A441A0" w:rsidRPr="000238D3">
        <w:rPr>
          <w:b/>
          <w:sz w:val="28"/>
          <w:szCs w:val="28"/>
        </w:rPr>
        <w:t xml:space="preserve"> </w:t>
      </w:r>
      <w:r w:rsidR="00767B8F">
        <w:rPr>
          <w:b/>
          <w:sz w:val="28"/>
          <w:szCs w:val="28"/>
        </w:rPr>
        <w:t>A Right to Counsel in</w:t>
      </w:r>
      <w:r w:rsidR="000238D3">
        <w:rPr>
          <w:b/>
          <w:sz w:val="28"/>
          <w:szCs w:val="28"/>
        </w:rPr>
        <w:t xml:space="preserve"> Civil Litigat</w:t>
      </w:r>
      <w:r w:rsidR="0074655D" w:rsidRPr="000238D3">
        <w:rPr>
          <w:b/>
          <w:sz w:val="28"/>
          <w:szCs w:val="28"/>
        </w:rPr>
        <w:t>ion</w:t>
      </w:r>
      <w:r w:rsidR="00767B8F">
        <w:rPr>
          <w:b/>
          <w:sz w:val="28"/>
          <w:szCs w:val="28"/>
        </w:rPr>
        <w:t>?</w:t>
      </w:r>
      <w:r w:rsidR="00A13E20">
        <w:rPr>
          <w:b/>
          <w:sz w:val="28"/>
          <w:szCs w:val="28"/>
        </w:rPr>
        <w:t xml:space="preserve"> Lawyers as Fairness?</w:t>
      </w:r>
    </w:p>
    <w:p w:rsidR="00FF0A59" w:rsidRDefault="0074655D" w:rsidP="00196743">
      <w:pPr>
        <w:tabs>
          <w:tab w:val="left" w:pos="1440"/>
        </w:tabs>
        <w:spacing w:after="0" w:line="240" w:lineRule="auto"/>
        <w:ind w:firstLine="720"/>
        <w:contextualSpacing/>
        <w:jc w:val="both"/>
        <w:rPr>
          <w:sz w:val="24"/>
          <w:szCs w:val="24"/>
        </w:rPr>
      </w:pPr>
      <w:r>
        <w:rPr>
          <w:sz w:val="24"/>
          <w:szCs w:val="24"/>
        </w:rPr>
        <w:t>The U.S.</w:t>
      </w:r>
      <w:r w:rsidR="00FF0A59" w:rsidRPr="003A40F5">
        <w:rPr>
          <w:sz w:val="24"/>
          <w:szCs w:val="24"/>
        </w:rPr>
        <w:t xml:space="preserve"> Supreme Court </w:t>
      </w:r>
      <w:r>
        <w:rPr>
          <w:sz w:val="24"/>
          <w:szCs w:val="24"/>
        </w:rPr>
        <w:t xml:space="preserve">has addressed </w:t>
      </w:r>
      <w:r w:rsidR="000238D3">
        <w:rPr>
          <w:sz w:val="24"/>
          <w:szCs w:val="24"/>
        </w:rPr>
        <w:t>constitutional claims of c</w:t>
      </w:r>
      <w:r>
        <w:rPr>
          <w:sz w:val="24"/>
          <w:szCs w:val="24"/>
        </w:rPr>
        <w:t xml:space="preserve">ivil litigants </w:t>
      </w:r>
      <w:r w:rsidR="000238D3">
        <w:rPr>
          <w:sz w:val="24"/>
          <w:szCs w:val="24"/>
        </w:rPr>
        <w:t xml:space="preserve">seeking </w:t>
      </w:r>
      <w:r>
        <w:rPr>
          <w:sz w:val="24"/>
          <w:szCs w:val="24"/>
        </w:rPr>
        <w:t xml:space="preserve">subsidies when faced with the loss of parental status and </w:t>
      </w:r>
      <w:r w:rsidR="000238D3">
        <w:rPr>
          <w:sz w:val="24"/>
          <w:szCs w:val="24"/>
        </w:rPr>
        <w:t xml:space="preserve">with incarceration for failure to pay </w:t>
      </w:r>
      <w:r>
        <w:rPr>
          <w:sz w:val="24"/>
          <w:szCs w:val="24"/>
        </w:rPr>
        <w:t xml:space="preserve">child support.  </w:t>
      </w:r>
      <w:r w:rsidR="00FF0A59" w:rsidRPr="003A40F5">
        <w:rPr>
          <w:sz w:val="24"/>
          <w:szCs w:val="24"/>
        </w:rPr>
        <w:t xml:space="preserve">How do arguments </w:t>
      </w:r>
      <w:r w:rsidR="00A13E20">
        <w:rPr>
          <w:sz w:val="24"/>
          <w:szCs w:val="24"/>
        </w:rPr>
        <w:t>for</w:t>
      </w:r>
      <w:r w:rsidR="00FF0A59" w:rsidRPr="003A40F5">
        <w:rPr>
          <w:sz w:val="24"/>
          <w:szCs w:val="24"/>
        </w:rPr>
        <w:t xml:space="preserve"> </w:t>
      </w:r>
      <w:r w:rsidR="00F23B3F">
        <w:rPr>
          <w:sz w:val="24"/>
          <w:szCs w:val="24"/>
        </w:rPr>
        <w:t xml:space="preserve">state subsidies </w:t>
      </w:r>
      <w:r w:rsidR="00A13E20">
        <w:rPr>
          <w:sz w:val="24"/>
          <w:szCs w:val="24"/>
        </w:rPr>
        <w:t>for</w:t>
      </w:r>
      <w:r w:rsidR="00F23B3F">
        <w:rPr>
          <w:sz w:val="24"/>
          <w:szCs w:val="24"/>
        </w:rPr>
        <w:t xml:space="preserve"> </w:t>
      </w:r>
      <w:r w:rsidR="00196743">
        <w:rPr>
          <w:sz w:val="24"/>
          <w:szCs w:val="24"/>
        </w:rPr>
        <w:t xml:space="preserve">civil </w:t>
      </w:r>
      <w:r>
        <w:rPr>
          <w:sz w:val="24"/>
          <w:szCs w:val="24"/>
        </w:rPr>
        <w:t>litigants</w:t>
      </w:r>
      <w:r w:rsidR="00F23B3F">
        <w:rPr>
          <w:sz w:val="24"/>
          <w:szCs w:val="24"/>
        </w:rPr>
        <w:t xml:space="preserve"> </w:t>
      </w:r>
      <w:r w:rsidR="00FF0A59" w:rsidRPr="003A40F5">
        <w:rPr>
          <w:sz w:val="24"/>
          <w:szCs w:val="24"/>
        </w:rPr>
        <w:t>parallel or diverge from the claims made</w:t>
      </w:r>
      <w:r w:rsidR="00F23B3F">
        <w:rPr>
          <w:sz w:val="24"/>
          <w:szCs w:val="24"/>
        </w:rPr>
        <w:t xml:space="preserve"> a</w:t>
      </w:r>
      <w:r w:rsidR="00FF0A59" w:rsidRPr="003A40F5">
        <w:rPr>
          <w:sz w:val="24"/>
          <w:szCs w:val="24"/>
        </w:rPr>
        <w:t xml:space="preserve">bout </w:t>
      </w:r>
      <w:r w:rsidR="00F23B3F">
        <w:rPr>
          <w:sz w:val="24"/>
          <w:szCs w:val="24"/>
        </w:rPr>
        <w:t xml:space="preserve">the </w:t>
      </w:r>
      <w:r w:rsidR="00FF0A59" w:rsidRPr="003A40F5">
        <w:rPr>
          <w:sz w:val="24"/>
          <w:szCs w:val="24"/>
        </w:rPr>
        <w:t xml:space="preserve">right to counsel for </w:t>
      </w:r>
      <w:r w:rsidR="00F23B3F">
        <w:rPr>
          <w:sz w:val="24"/>
          <w:szCs w:val="24"/>
        </w:rPr>
        <w:t xml:space="preserve">criminal </w:t>
      </w:r>
      <w:r w:rsidR="00FF0A59" w:rsidRPr="003A40F5">
        <w:rPr>
          <w:sz w:val="24"/>
          <w:szCs w:val="24"/>
        </w:rPr>
        <w:t>defendants?</w:t>
      </w:r>
      <w:r w:rsidR="00196743">
        <w:rPr>
          <w:sz w:val="24"/>
          <w:szCs w:val="24"/>
        </w:rPr>
        <w:t xml:space="preserve"> </w:t>
      </w:r>
      <w:r w:rsidR="008E7D11">
        <w:rPr>
          <w:sz w:val="24"/>
          <w:szCs w:val="24"/>
        </w:rPr>
        <w:t xml:space="preserve"> </w:t>
      </w:r>
      <w:r w:rsidR="00F23B3F">
        <w:rPr>
          <w:sz w:val="24"/>
          <w:szCs w:val="24"/>
        </w:rPr>
        <w:t xml:space="preserve">What might fall under the header of “Civil </w:t>
      </w:r>
      <w:r w:rsidR="00F23B3F" w:rsidRPr="00F23B3F">
        <w:rPr>
          <w:i/>
          <w:sz w:val="24"/>
          <w:szCs w:val="24"/>
        </w:rPr>
        <w:t>Gideon</w:t>
      </w:r>
      <w:r w:rsidR="00F23B3F">
        <w:rPr>
          <w:sz w:val="24"/>
          <w:szCs w:val="24"/>
        </w:rPr>
        <w:t xml:space="preserve">”? Is </w:t>
      </w:r>
      <w:r w:rsidR="008E7D11">
        <w:rPr>
          <w:sz w:val="24"/>
          <w:szCs w:val="24"/>
        </w:rPr>
        <w:t>the cate</w:t>
      </w:r>
      <w:r w:rsidR="00301DD2">
        <w:rPr>
          <w:sz w:val="24"/>
          <w:szCs w:val="24"/>
        </w:rPr>
        <w:t xml:space="preserve">gory “civil litigation” </w:t>
      </w:r>
      <w:r w:rsidR="00F23B3F">
        <w:rPr>
          <w:sz w:val="24"/>
          <w:szCs w:val="24"/>
        </w:rPr>
        <w:t xml:space="preserve">useful for analysis or would </w:t>
      </w:r>
      <w:r w:rsidR="00301DD2">
        <w:rPr>
          <w:sz w:val="24"/>
          <w:szCs w:val="24"/>
        </w:rPr>
        <w:t xml:space="preserve">subcategories </w:t>
      </w:r>
      <w:r w:rsidR="00F23B3F">
        <w:rPr>
          <w:sz w:val="24"/>
          <w:szCs w:val="24"/>
        </w:rPr>
        <w:t xml:space="preserve">be helpful to clarify </w:t>
      </w:r>
      <w:r w:rsidR="00301DD2">
        <w:rPr>
          <w:sz w:val="24"/>
          <w:szCs w:val="24"/>
        </w:rPr>
        <w:t>when governme</w:t>
      </w:r>
      <w:r w:rsidR="00B27BBE">
        <w:rPr>
          <w:sz w:val="24"/>
          <w:szCs w:val="24"/>
        </w:rPr>
        <w:t>nts ought to provide subsidies?</w:t>
      </w:r>
    </w:p>
    <w:p w:rsidR="00A441A0" w:rsidRDefault="00A441A0" w:rsidP="004B1BF2">
      <w:pPr>
        <w:tabs>
          <w:tab w:val="left" w:pos="1440"/>
        </w:tabs>
        <w:spacing w:after="0" w:line="240" w:lineRule="auto"/>
        <w:jc w:val="both"/>
        <w:rPr>
          <w:rFonts w:cs="Arial"/>
          <w:bCs/>
          <w:sz w:val="24"/>
          <w:szCs w:val="24"/>
        </w:rPr>
      </w:pPr>
    </w:p>
    <w:p w:rsidR="00676225" w:rsidRDefault="00676225" w:rsidP="00676225">
      <w:pPr>
        <w:tabs>
          <w:tab w:val="left" w:pos="1440"/>
        </w:tabs>
        <w:spacing w:after="0" w:line="240" w:lineRule="auto"/>
        <w:jc w:val="both"/>
        <w:rPr>
          <w:rFonts w:cs="Arial"/>
          <w:bCs/>
          <w:i/>
          <w:sz w:val="24"/>
          <w:szCs w:val="24"/>
        </w:rPr>
      </w:pPr>
    </w:p>
    <w:p w:rsidR="00676225" w:rsidRDefault="00676225" w:rsidP="00676225">
      <w:pPr>
        <w:tabs>
          <w:tab w:val="left" w:pos="1440"/>
        </w:tabs>
        <w:spacing w:after="0" w:line="240" w:lineRule="auto"/>
        <w:jc w:val="both"/>
        <w:rPr>
          <w:rFonts w:cs="Arial"/>
          <w:bCs/>
          <w:i/>
          <w:sz w:val="24"/>
          <w:szCs w:val="24"/>
        </w:rPr>
      </w:pPr>
    </w:p>
    <w:p w:rsidR="00A441A0" w:rsidRDefault="00A441A0" w:rsidP="00A441A0">
      <w:pPr>
        <w:tabs>
          <w:tab w:val="left" w:pos="1440"/>
        </w:tabs>
        <w:spacing w:after="0" w:line="240" w:lineRule="auto"/>
        <w:ind w:left="720"/>
        <w:jc w:val="both"/>
        <w:rPr>
          <w:rFonts w:cs="Arial"/>
          <w:bCs/>
          <w:sz w:val="24"/>
          <w:szCs w:val="24"/>
        </w:rPr>
      </w:pPr>
      <w:r w:rsidRPr="008E7D11">
        <w:rPr>
          <w:rFonts w:cs="Arial"/>
          <w:bCs/>
          <w:i/>
          <w:sz w:val="24"/>
          <w:szCs w:val="24"/>
        </w:rPr>
        <w:lastRenderedPageBreak/>
        <w:t xml:space="preserve">Lassiter </w:t>
      </w:r>
      <w:r w:rsidR="00CD2971" w:rsidRPr="008E7D11">
        <w:rPr>
          <w:rFonts w:cs="Arial"/>
          <w:bCs/>
          <w:i/>
          <w:sz w:val="24"/>
          <w:szCs w:val="24"/>
        </w:rPr>
        <w:t>v. North Carolina Dep’t of Social Services</w:t>
      </w:r>
      <w:r w:rsidR="00513DD2">
        <w:rPr>
          <w:rFonts w:cs="Arial"/>
          <w:bCs/>
          <w:sz w:val="24"/>
          <w:szCs w:val="24"/>
        </w:rPr>
        <w:t xml:space="preserve">, </w:t>
      </w:r>
      <w:r w:rsidR="008E7D11">
        <w:rPr>
          <w:rFonts w:cs="Arial"/>
          <w:bCs/>
          <w:sz w:val="24"/>
          <w:szCs w:val="24"/>
        </w:rPr>
        <w:t>452</w:t>
      </w:r>
      <w:r w:rsidR="00513DD2">
        <w:rPr>
          <w:rFonts w:cs="Arial"/>
          <w:bCs/>
          <w:sz w:val="24"/>
          <w:szCs w:val="24"/>
        </w:rPr>
        <w:t xml:space="preserve"> U.S.</w:t>
      </w:r>
      <w:r w:rsidR="008E7D11">
        <w:rPr>
          <w:rFonts w:cs="Arial"/>
          <w:bCs/>
          <w:sz w:val="24"/>
          <w:szCs w:val="24"/>
        </w:rPr>
        <w:t xml:space="preserve"> 18</w:t>
      </w:r>
      <w:r w:rsidR="000875F5">
        <w:rPr>
          <w:rFonts w:cs="Arial"/>
          <w:bCs/>
          <w:sz w:val="24"/>
          <w:szCs w:val="24"/>
        </w:rPr>
        <w:t xml:space="preserve"> </w:t>
      </w:r>
      <w:r w:rsidR="00513DD2">
        <w:rPr>
          <w:rFonts w:cs="Arial"/>
          <w:bCs/>
          <w:sz w:val="24"/>
          <w:szCs w:val="24"/>
        </w:rPr>
        <w:t>(19</w:t>
      </w:r>
      <w:r w:rsidR="008E7D11">
        <w:rPr>
          <w:rFonts w:cs="Arial"/>
          <w:bCs/>
          <w:sz w:val="24"/>
          <w:szCs w:val="24"/>
        </w:rPr>
        <w:t>81</w:t>
      </w:r>
      <w:r w:rsidR="00513DD2">
        <w:rPr>
          <w:rFonts w:cs="Arial"/>
          <w:bCs/>
          <w:sz w:val="24"/>
          <w:szCs w:val="24"/>
        </w:rPr>
        <w:t xml:space="preserve"> )</w:t>
      </w:r>
    </w:p>
    <w:p w:rsidR="004B1BF2" w:rsidRDefault="004B1BF2" w:rsidP="00676225">
      <w:pPr>
        <w:tabs>
          <w:tab w:val="left" w:pos="1440"/>
        </w:tabs>
        <w:spacing w:after="0" w:line="240" w:lineRule="auto"/>
        <w:jc w:val="both"/>
        <w:rPr>
          <w:rFonts w:cs="Arial"/>
          <w:bCs/>
          <w:i/>
          <w:sz w:val="24"/>
          <w:szCs w:val="24"/>
        </w:rPr>
      </w:pPr>
    </w:p>
    <w:p w:rsidR="00CD2971" w:rsidRDefault="00513DD2" w:rsidP="00A441A0">
      <w:pPr>
        <w:tabs>
          <w:tab w:val="left" w:pos="1440"/>
        </w:tabs>
        <w:spacing w:after="0" w:line="240" w:lineRule="auto"/>
        <w:ind w:left="720"/>
        <w:jc w:val="both"/>
        <w:rPr>
          <w:rFonts w:cs="Arial"/>
          <w:bCs/>
          <w:sz w:val="24"/>
          <w:szCs w:val="24"/>
        </w:rPr>
      </w:pPr>
      <w:r w:rsidRPr="008E7D11">
        <w:rPr>
          <w:rFonts w:cs="Arial"/>
          <w:bCs/>
          <w:i/>
          <w:sz w:val="24"/>
          <w:szCs w:val="24"/>
        </w:rPr>
        <w:t>MLB v. SLJ</w:t>
      </w:r>
      <w:r w:rsidR="000875F5">
        <w:rPr>
          <w:rFonts w:cs="Arial"/>
          <w:bCs/>
          <w:sz w:val="24"/>
          <w:szCs w:val="24"/>
        </w:rPr>
        <w:t>,</w:t>
      </w:r>
      <w:r>
        <w:rPr>
          <w:rFonts w:cs="Arial"/>
          <w:bCs/>
          <w:sz w:val="24"/>
          <w:szCs w:val="24"/>
        </w:rPr>
        <w:t xml:space="preserve"> </w:t>
      </w:r>
      <w:r w:rsidR="008E7D11">
        <w:rPr>
          <w:rFonts w:cs="Arial"/>
          <w:bCs/>
          <w:sz w:val="24"/>
          <w:szCs w:val="24"/>
        </w:rPr>
        <w:t xml:space="preserve">519 </w:t>
      </w:r>
      <w:r>
        <w:rPr>
          <w:rFonts w:cs="Arial"/>
          <w:bCs/>
          <w:sz w:val="24"/>
          <w:szCs w:val="24"/>
        </w:rPr>
        <w:t>U.S.</w:t>
      </w:r>
      <w:r w:rsidR="008E7D11">
        <w:rPr>
          <w:rFonts w:cs="Arial"/>
          <w:bCs/>
          <w:sz w:val="24"/>
          <w:szCs w:val="24"/>
        </w:rPr>
        <w:t xml:space="preserve"> 102</w:t>
      </w:r>
      <w:r>
        <w:rPr>
          <w:rFonts w:cs="Arial"/>
          <w:bCs/>
          <w:sz w:val="24"/>
          <w:szCs w:val="24"/>
        </w:rPr>
        <w:t xml:space="preserve">   (19</w:t>
      </w:r>
      <w:r w:rsidR="008E7D11">
        <w:rPr>
          <w:rFonts w:cs="Arial"/>
          <w:bCs/>
          <w:sz w:val="24"/>
          <w:szCs w:val="24"/>
        </w:rPr>
        <w:t>96</w:t>
      </w:r>
      <w:r>
        <w:rPr>
          <w:rFonts w:cs="Arial"/>
          <w:bCs/>
          <w:sz w:val="24"/>
          <w:szCs w:val="24"/>
        </w:rPr>
        <w:t>)</w:t>
      </w:r>
    </w:p>
    <w:p w:rsidR="004B1BF2" w:rsidRDefault="004B1BF2" w:rsidP="00676225">
      <w:pPr>
        <w:tabs>
          <w:tab w:val="left" w:pos="1440"/>
        </w:tabs>
        <w:spacing w:after="0" w:line="240" w:lineRule="auto"/>
        <w:jc w:val="both"/>
        <w:rPr>
          <w:rFonts w:cs="Arial"/>
          <w:bCs/>
          <w:sz w:val="24"/>
          <w:szCs w:val="24"/>
        </w:rPr>
      </w:pPr>
    </w:p>
    <w:p w:rsidR="00D3627D" w:rsidRPr="00D3627D" w:rsidRDefault="00FF0A59" w:rsidP="00D3627D">
      <w:pPr>
        <w:tabs>
          <w:tab w:val="left" w:pos="1440"/>
        </w:tabs>
        <w:spacing w:after="0" w:line="240" w:lineRule="auto"/>
        <w:ind w:left="720"/>
        <w:jc w:val="both"/>
        <w:rPr>
          <w:bCs/>
          <w:sz w:val="24"/>
          <w:szCs w:val="24"/>
        </w:rPr>
      </w:pPr>
      <w:r w:rsidRPr="0000226A">
        <w:rPr>
          <w:i/>
          <w:sz w:val="24"/>
          <w:szCs w:val="24"/>
        </w:rPr>
        <w:t>Turner v. Rogers</w:t>
      </w:r>
      <w:r w:rsidR="00196743">
        <w:rPr>
          <w:sz w:val="24"/>
          <w:szCs w:val="24"/>
        </w:rPr>
        <w:t xml:space="preserve">, </w:t>
      </w:r>
      <w:r w:rsidR="00B27BBE">
        <w:rPr>
          <w:rFonts w:cs="Arial"/>
          <w:sz w:val="24"/>
          <w:szCs w:val="24"/>
        </w:rPr>
        <w:t>131 S. Ct. 2507 (2011)</w:t>
      </w:r>
    </w:p>
    <w:p w:rsidR="008E7D11" w:rsidRDefault="00A441A0" w:rsidP="00CD2971">
      <w:pPr>
        <w:tabs>
          <w:tab w:val="left" w:pos="1440"/>
        </w:tabs>
        <w:spacing w:after="0" w:line="240" w:lineRule="auto"/>
        <w:ind w:left="360"/>
        <w:jc w:val="both"/>
        <w:rPr>
          <w:bCs/>
          <w:sz w:val="24"/>
          <w:szCs w:val="24"/>
        </w:rPr>
      </w:pPr>
      <w:r>
        <w:rPr>
          <w:bCs/>
          <w:i/>
          <w:sz w:val="24"/>
          <w:szCs w:val="24"/>
        </w:rPr>
        <w:tab/>
      </w:r>
      <w:r w:rsidRPr="0053207D">
        <w:rPr>
          <w:bCs/>
          <w:sz w:val="24"/>
          <w:szCs w:val="24"/>
        </w:rPr>
        <w:t>Order for Contempt of Court, State of South Carolina,</w:t>
      </w:r>
    </w:p>
    <w:p w:rsidR="00A441A0" w:rsidRPr="0053207D" w:rsidRDefault="008E7D11" w:rsidP="00CD2971">
      <w:pPr>
        <w:tabs>
          <w:tab w:val="left" w:pos="1440"/>
        </w:tabs>
        <w:spacing w:after="0" w:line="240" w:lineRule="auto"/>
        <w:ind w:left="360"/>
        <w:jc w:val="both"/>
        <w:rPr>
          <w:bCs/>
          <w:sz w:val="24"/>
          <w:szCs w:val="24"/>
        </w:rPr>
      </w:pPr>
      <w:r>
        <w:rPr>
          <w:bCs/>
          <w:sz w:val="24"/>
          <w:szCs w:val="24"/>
        </w:rPr>
        <w:t xml:space="preserve"> </w:t>
      </w:r>
      <w:r>
        <w:rPr>
          <w:bCs/>
          <w:sz w:val="24"/>
          <w:szCs w:val="24"/>
        </w:rPr>
        <w:tab/>
      </w:r>
      <w:r>
        <w:rPr>
          <w:bCs/>
          <w:sz w:val="24"/>
          <w:szCs w:val="24"/>
        </w:rPr>
        <w:tab/>
      </w:r>
      <w:r w:rsidR="00A441A0" w:rsidRPr="0053207D">
        <w:rPr>
          <w:bCs/>
          <w:sz w:val="24"/>
          <w:szCs w:val="24"/>
        </w:rPr>
        <w:t xml:space="preserve"> County of Oconee, No</w:t>
      </w:r>
      <w:r w:rsidR="00B27BBE">
        <w:rPr>
          <w:bCs/>
          <w:sz w:val="24"/>
          <w:szCs w:val="24"/>
        </w:rPr>
        <w:t>. 2003-DR-37-472, Jan. 3, 2008</w:t>
      </w:r>
    </w:p>
    <w:p w:rsidR="00A441A0" w:rsidRDefault="00CD2971" w:rsidP="00A441A0">
      <w:pPr>
        <w:tabs>
          <w:tab w:val="left" w:pos="1440"/>
        </w:tabs>
        <w:spacing w:after="0" w:line="240" w:lineRule="auto"/>
        <w:ind w:left="720"/>
        <w:jc w:val="both"/>
        <w:rPr>
          <w:bCs/>
          <w:sz w:val="24"/>
          <w:szCs w:val="24"/>
        </w:rPr>
      </w:pPr>
      <w:r>
        <w:rPr>
          <w:bCs/>
          <w:i/>
          <w:sz w:val="24"/>
          <w:szCs w:val="24"/>
        </w:rPr>
        <w:t xml:space="preserve">           </w:t>
      </w:r>
      <w:r w:rsidR="00D3627D">
        <w:rPr>
          <w:bCs/>
          <w:i/>
          <w:sz w:val="24"/>
          <w:szCs w:val="24"/>
        </w:rPr>
        <w:tab/>
      </w:r>
      <w:r w:rsidR="00A441A0" w:rsidRPr="0053207D">
        <w:rPr>
          <w:bCs/>
          <w:i/>
          <w:sz w:val="24"/>
          <w:szCs w:val="24"/>
        </w:rPr>
        <w:t>Price v. Turner</w:t>
      </w:r>
      <w:r w:rsidR="00D3627D">
        <w:rPr>
          <w:bCs/>
          <w:sz w:val="24"/>
          <w:szCs w:val="24"/>
        </w:rPr>
        <w:t>, 691 S.E.2d 470 (S.C. 2010)</w:t>
      </w:r>
    </w:p>
    <w:p w:rsidR="00D3627D" w:rsidRDefault="00D3627D" w:rsidP="00D3627D">
      <w:pPr>
        <w:tabs>
          <w:tab w:val="left" w:pos="1440"/>
        </w:tabs>
        <w:spacing w:after="0" w:line="240" w:lineRule="auto"/>
        <w:ind w:left="720"/>
        <w:jc w:val="both"/>
        <w:rPr>
          <w:sz w:val="24"/>
          <w:szCs w:val="24"/>
        </w:rPr>
      </w:pPr>
      <w:r>
        <w:rPr>
          <w:bCs/>
          <w:i/>
          <w:sz w:val="24"/>
          <w:szCs w:val="24"/>
        </w:rPr>
        <w:tab/>
      </w:r>
      <w:r>
        <w:rPr>
          <w:sz w:val="24"/>
          <w:szCs w:val="24"/>
        </w:rPr>
        <w:t xml:space="preserve">Brief on behalf of Petitioner, </w:t>
      </w:r>
    </w:p>
    <w:p w:rsidR="00D3627D" w:rsidRDefault="00D3627D" w:rsidP="00D3627D">
      <w:pPr>
        <w:tabs>
          <w:tab w:val="left" w:pos="1440"/>
        </w:tabs>
        <w:spacing w:after="0" w:line="240" w:lineRule="auto"/>
        <w:ind w:left="720"/>
        <w:jc w:val="both"/>
        <w:rPr>
          <w:sz w:val="24"/>
          <w:szCs w:val="24"/>
        </w:rPr>
      </w:pPr>
      <w:r>
        <w:rPr>
          <w:sz w:val="24"/>
          <w:szCs w:val="24"/>
        </w:rPr>
        <w:tab/>
        <w:t>Brief on behalf of Respondents</w:t>
      </w:r>
    </w:p>
    <w:p w:rsidR="00D3627D" w:rsidRDefault="00E73839" w:rsidP="00D3627D">
      <w:pPr>
        <w:tabs>
          <w:tab w:val="left" w:pos="1440"/>
        </w:tabs>
        <w:spacing w:after="0" w:line="240" w:lineRule="auto"/>
        <w:ind w:left="720"/>
        <w:jc w:val="both"/>
        <w:rPr>
          <w:sz w:val="24"/>
          <w:szCs w:val="24"/>
        </w:rPr>
      </w:pPr>
      <w:r>
        <w:rPr>
          <w:sz w:val="24"/>
          <w:szCs w:val="24"/>
        </w:rPr>
        <w:tab/>
        <w:t>Brief by amici Benjamin Barton</w:t>
      </w:r>
      <w:r w:rsidR="00D3627D">
        <w:rPr>
          <w:sz w:val="24"/>
          <w:szCs w:val="24"/>
        </w:rPr>
        <w:t xml:space="preserve"> and Darryl Brown in Support of Respondents</w:t>
      </w:r>
    </w:p>
    <w:p w:rsidR="00357C3D" w:rsidRDefault="00357C3D" w:rsidP="00D3627D">
      <w:pPr>
        <w:tabs>
          <w:tab w:val="left" w:pos="1440"/>
        </w:tabs>
        <w:spacing w:after="0" w:line="240" w:lineRule="auto"/>
        <w:ind w:left="720"/>
        <w:jc w:val="both"/>
        <w:rPr>
          <w:sz w:val="24"/>
          <w:szCs w:val="24"/>
        </w:rPr>
      </w:pPr>
    </w:p>
    <w:p w:rsidR="00357C3D" w:rsidRDefault="00357C3D" w:rsidP="00357C3D">
      <w:pPr>
        <w:tabs>
          <w:tab w:val="left" w:pos="1440"/>
        </w:tabs>
        <w:spacing w:after="0" w:line="240" w:lineRule="auto"/>
        <w:ind w:left="720"/>
        <w:jc w:val="both"/>
        <w:rPr>
          <w:rFonts w:eastAsiaTheme="minorHAnsi" w:cs="Times New Roman"/>
          <w:iCs/>
          <w:sz w:val="24"/>
          <w:szCs w:val="24"/>
        </w:rPr>
      </w:pPr>
      <w:r w:rsidRPr="003A40F5">
        <w:rPr>
          <w:rFonts w:eastAsiaTheme="minorHAnsi" w:cs="Times New Roman"/>
          <w:iCs/>
          <w:sz w:val="24"/>
          <w:szCs w:val="24"/>
        </w:rPr>
        <w:t xml:space="preserve">Jonathan Lippman, </w:t>
      </w:r>
      <w:r w:rsidRPr="003A40F5">
        <w:rPr>
          <w:rFonts w:eastAsiaTheme="minorHAnsi" w:cs="Times New Roman"/>
          <w:i/>
          <w:iCs/>
          <w:sz w:val="24"/>
          <w:szCs w:val="24"/>
        </w:rPr>
        <w:t>State Courts: Enabling Access</w:t>
      </w:r>
      <w:r w:rsidRPr="003A40F5">
        <w:rPr>
          <w:rFonts w:eastAsiaTheme="minorHAnsi" w:cs="Times New Roman"/>
          <w:iCs/>
          <w:smallCaps/>
          <w:sz w:val="24"/>
          <w:szCs w:val="24"/>
        </w:rPr>
        <w:t>, Daedalus</w:t>
      </w:r>
      <w:r>
        <w:rPr>
          <w:rFonts w:eastAsiaTheme="minorHAnsi" w:cs="Times New Roman"/>
          <w:iCs/>
          <w:sz w:val="24"/>
          <w:szCs w:val="24"/>
        </w:rPr>
        <w:t>: Journal of the American</w:t>
      </w:r>
    </w:p>
    <w:p w:rsidR="00357C3D" w:rsidRDefault="00357C3D" w:rsidP="00357C3D">
      <w:pPr>
        <w:tabs>
          <w:tab w:val="left" w:pos="1440"/>
        </w:tabs>
        <w:spacing w:after="0" w:line="240" w:lineRule="auto"/>
        <w:ind w:left="720"/>
        <w:jc w:val="both"/>
        <w:rPr>
          <w:rFonts w:eastAsiaTheme="minorHAnsi" w:cs="Times New Roman"/>
          <w:iCs/>
          <w:sz w:val="24"/>
          <w:szCs w:val="24"/>
        </w:rPr>
      </w:pPr>
      <w:r>
        <w:rPr>
          <w:rFonts w:eastAsiaTheme="minorHAnsi" w:cs="Times New Roman"/>
          <w:iCs/>
          <w:sz w:val="24"/>
          <w:szCs w:val="24"/>
        </w:rPr>
        <w:t xml:space="preserve">     </w:t>
      </w:r>
      <w:r>
        <w:rPr>
          <w:rFonts w:eastAsiaTheme="minorHAnsi" w:cs="Times New Roman"/>
          <w:iCs/>
          <w:sz w:val="24"/>
          <w:szCs w:val="24"/>
        </w:rPr>
        <w:tab/>
        <w:t xml:space="preserve">Academy of Arts &amp; Sciences 28 </w:t>
      </w:r>
      <w:r w:rsidRPr="003A40F5">
        <w:rPr>
          <w:rFonts w:eastAsiaTheme="minorHAnsi" w:cs="Times New Roman"/>
          <w:iCs/>
          <w:sz w:val="24"/>
          <w:szCs w:val="24"/>
        </w:rPr>
        <w:t>(</w:t>
      </w:r>
      <w:r>
        <w:rPr>
          <w:rFonts w:eastAsiaTheme="minorHAnsi" w:cs="Times New Roman"/>
          <w:iCs/>
          <w:sz w:val="24"/>
          <w:szCs w:val="24"/>
        </w:rPr>
        <w:t xml:space="preserve">Summer, </w:t>
      </w:r>
      <w:r w:rsidRPr="003A40F5">
        <w:rPr>
          <w:rFonts w:eastAsiaTheme="minorHAnsi" w:cs="Times New Roman"/>
          <w:iCs/>
          <w:sz w:val="24"/>
          <w:szCs w:val="24"/>
        </w:rPr>
        <w:t>2014)</w:t>
      </w:r>
    </w:p>
    <w:p w:rsidR="00357C3D" w:rsidRDefault="00357C3D" w:rsidP="00D3627D">
      <w:pPr>
        <w:tabs>
          <w:tab w:val="left" w:pos="1440"/>
        </w:tabs>
        <w:spacing w:after="0" w:line="240" w:lineRule="auto"/>
        <w:ind w:left="720"/>
        <w:jc w:val="both"/>
        <w:rPr>
          <w:bCs/>
          <w:sz w:val="24"/>
          <w:szCs w:val="24"/>
        </w:rPr>
      </w:pPr>
    </w:p>
    <w:p w:rsidR="00357C3D" w:rsidRPr="00357C3D" w:rsidRDefault="00357C3D" w:rsidP="00357C3D">
      <w:pPr>
        <w:tabs>
          <w:tab w:val="left" w:pos="1440"/>
        </w:tabs>
        <w:spacing w:after="0" w:line="240" w:lineRule="auto"/>
        <w:ind w:left="1440" w:hanging="720"/>
        <w:jc w:val="both"/>
        <w:rPr>
          <w:rFonts w:eastAsiaTheme="minorHAnsi" w:cs="Times New Roman"/>
          <w:i/>
          <w:iCs/>
          <w:sz w:val="24"/>
          <w:szCs w:val="24"/>
        </w:rPr>
      </w:pPr>
      <w:r w:rsidRPr="00357C3D">
        <w:rPr>
          <w:rFonts w:eastAsiaTheme="minorHAnsi" w:cs="Times New Roman"/>
          <w:i/>
          <w:iCs/>
          <w:sz w:val="24"/>
          <w:szCs w:val="24"/>
        </w:rPr>
        <w:t>Optional:</w:t>
      </w:r>
    </w:p>
    <w:p w:rsidR="00357C3D" w:rsidRPr="003F677F" w:rsidRDefault="00357C3D" w:rsidP="00357C3D">
      <w:pPr>
        <w:tabs>
          <w:tab w:val="left" w:pos="1440"/>
        </w:tabs>
        <w:spacing w:after="0" w:line="240" w:lineRule="auto"/>
        <w:ind w:left="2160" w:hanging="720"/>
        <w:jc w:val="both"/>
        <w:rPr>
          <w:bCs/>
          <w:sz w:val="24"/>
          <w:szCs w:val="24"/>
        </w:rPr>
      </w:pPr>
      <w:r>
        <w:rPr>
          <w:rFonts w:eastAsiaTheme="minorHAnsi" w:cs="Times New Roman"/>
          <w:iCs/>
          <w:sz w:val="24"/>
          <w:szCs w:val="24"/>
        </w:rPr>
        <w:t xml:space="preserve">Martha F. Davis, </w:t>
      </w:r>
      <w:r w:rsidRPr="00963B5E">
        <w:rPr>
          <w:rFonts w:eastAsiaTheme="minorHAnsi" w:cs="Times New Roman"/>
          <w:i/>
          <w:iCs/>
          <w:sz w:val="24"/>
          <w:szCs w:val="24"/>
        </w:rPr>
        <w:t>Race and Civil Counsel in the United States: A Human Rights Progress Report</w:t>
      </w:r>
      <w:r>
        <w:rPr>
          <w:rFonts w:eastAsiaTheme="minorHAnsi" w:cs="Times New Roman"/>
          <w:iCs/>
          <w:smallCaps/>
          <w:sz w:val="24"/>
          <w:szCs w:val="24"/>
        </w:rPr>
        <w:t>, 64</w:t>
      </w:r>
      <w:r w:rsidRPr="00963B5E">
        <w:rPr>
          <w:rFonts w:eastAsiaTheme="minorHAnsi" w:cs="Times New Roman"/>
          <w:iCs/>
          <w:smallCaps/>
          <w:sz w:val="24"/>
          <w:szCs w:val="24"/>
        </w:rPr>
        <w:t xml:space="preserve"> Syr. L. Re</w:t>
      </w:r>
      <w:r>
        <w:rPr>
          <w:rFonts w:eastAsiaTheme="minorHAnsi" w:cs="Times New Roman"/>
          <w:iCs/>
          <w:smallCaps/>
          <w:sz w:val="24"/>
          <w:szCs w:val="24"/>
        </w:rPr>
        <w:t>v</w:t>
      </w:r>
      <w:r>
        <w:rPr>
          <w:rFonts w:eastAsiaTheme="minorHAnsi" w:cs="Times New Roman"/>
          <w:iCs/>
          <w:sz w:val="24"/>
          <w:szCs w:val="24"/>
        </w:rPr>
        <w:t>. 3, 446-467 (2014)</w:t>
      </w:r>
    </w:p>
    <w:p w:rsidR="00D3627D" w:rsidRDefault="00D3627D" w:rsidP="00357C3D">
      <w:pPr>
        <w:tabs>
          <w:tab w:val="left" w:pos="1440"/>
        </w:tabs>
        <w:spacing w:after="0" w:line="240" w:lineRule="auto"/>
        <w:ind w:left="720"/>
        <w:jc w:val="both"/>
        <w:rPr>
          <w:bCs/>
          <w:sz w:val="24"/>
          <w:szCs w:val="24"/>
        </w:rPr>
      </w:pPr>
    </w:p>
    <w:p w:rsidR="00D3627D" w:rsidRDefault="00A441A0" w:rsidP="00357C3D">
      <w:pPr>
        <w:spacing w:after="0" w:line="240" w:lineRule="auto"/>
        <w:ind w:left="2160" w:hanging="720"/>
        <w:jc w:val="both"/>
        <w:rPr>
          <w:bCs/>
          <w:sz w:val="24"/>
          <w:szCs w:val="24"/>
        </w:rPr>
      </w:pPr>
      <w:r w:rsidRPr="0053207D">
        <w:rPr>
          <w:bCs/>
          <w:sz w:val="24"/>
          <w:szCs w:val="24"/>
        </w:rPr>
        <w:t xml:space="preserve">Judith Resnik, </w:t>
      </w:r>
      <w:r w:rsidRPr="0053207D">
        <w:rPr>
          <w:bCs/>
          <w:i/>
          <w:sz w:val="24"/>
          <w:szCs w:val="24"/>
        </w:rPr>
        <w:t>Fairness in Numbers: A Comment on</w:t>
      </w:r>
      <w:r w:rsidRPr="0053207D">
        <w:rPr>
          <w:bCs/>
          <w:sz w:val="24"/>
          <w:szCs w:val="24"/>
        </w:rPr>
        <w:t xml:space="preserve"> </w:t>
      </w:r>
      <w:r w:rsidR="00B27BBE">
        <w:rPr>
          <w:bCs/>
          <w:sz w:val="24"/>
          <w:szCs w:val="24"/>
        </w:rPr>
        <w:t xml:space="preserve">AT&amp;T v. Concepcion, </w:t>
      </w:r>
      <w:r w:rsidR="00357C3D">
        <w:rPr>
          <w:bCs/>
          <w:sz w:val="24"/>
          <w:szCs w:val="24"/>
        </w:rPr>
        <w:t xml:space="preserve">         </w:t>
      </w:r>
      <w:r w:rsidR="00B27BBE">
        <w:rPr>
          <w:bCs/>
          <w:sz w:val="24"/>
          <w:szCs w:val="24"/>
        </w:rPr>
        <w:t>Wal-Mart v.</w:t>
      </w:r>
      <w:r w:rsidR="00357C3D">
        <w:rPr>
          <w:bCs/>
          <w:sz w:val="24"/>
          <w:szCs w:val="24"/>
        </w:rPr>
        <w:t xml:space="preserve"> </w:t>
      </w:r>
      <w:r w:rsidRPr="0053207D">
        <w:rPr>
          <w:bCs/>
          <w:sz w:val="24"/>
          <w:szCs w:val="24"/>
        </w:rPr>
        <w:t xml:space="preserve">Dukes, </w:t>
      </w:r>
      <w:r w:rsidRPr="0053207D">
        <w:rPr>
          <w:bCs/>
          <w:i/>
          <w:sz w:val="24"/>
          <w:szCs w:val="24"/>
        </w:rPr>
        <w:t xml:space="preserve">and </w:t>
      </w:r>
      <w:r w:rsidRPr="0053207D">
        <w:rPr>
          <w:bCs/>
          <w:sz w:val="24"/>
          <w:szCs w:val="24"/>
        </w:rPr>
        <w:t xml:space="preserve">Turner v. Rogers, 125 </w:t>
      </w:r>
      <w:r w:rsidRPr="0053207D">
        <w:rPr>
          <w:bCs/>
          <w:smallCaps/>
          <w:sz w:val="24"/>
          <w:szCs w:val="24"/>
        </w:rPr>
        <w:t>Harv. L. Rev.</w:t>
      </w:r>
      <w:r w:rsidRPr="0053207D">
        <w:rPr>
          <w:bCs/>
          <w:sz w:val="24"/>
          <w:szCs w:val="24"/>
        </w:rPr>
        <w:t xml:space="preserve"> 78</w:t>
      </w:r>
      <w:r w:rsidR="00513DD2">
        <w:rPr>
          <w:bCs/>
          <w:sz w:val="24"/>
          <w:szCs w:val="24"/>
        </w:rPr>
        <w:t>-94, 97-99, 103-1</w:t>
      </w:r>
      <w:r w:rsidR="00A13E20">
        <w:rPr>
          <w:bCs/>
          <w:sz w:val="24"/>
          <w:szCs w:val="24"/>
        </w:rPr>
        <w:t>04</w:t>
      </w:r>
      <w:r w:rsidR="00513DD2">
        <w:rPr>
          <w:bCs/>
          <w:sz w:val="24"/>
          <w:szCs w:val="24"/>
        </w:rPr>
        <w:t>, 154-161</w:t>
      </w:r>
      <w:r w:rsidRPr="0053207D">
        <w:rPr>
          <w:bCs/>
          <w:sz w:val="24"/>
          <w:szCs w:val="24"/>
        </w:rPr>
        <w:t xml:space="preserve"> (2011)</w:t>
      </w:r>
    </w:p>
    <w:p w:rsidR="00963B5E" w:rsidRDefault="00963B5E" w:rsidP="00357C3D">
      <w:pPr>
        <w:tabs>
          <w:tab w:val="left" w:pos="1440"/>
        </w:tabs>
        <w:spacing w:after="0" w:line="240" w:lineRule="auto"/>
        <w:jc w:val="both"/>
        <w:rPr>
          <w:rFonts w:eastAsiaTheme="minorHAnsi" w:cs="Times New Roman"/>
          <w:iCs/>
          <w:sz w:val="24"/>
          <w:szCs w:val="24"/>
        </w:rPr>
      </w:pPr>
    </w:p>
    <w:p w:rsidR="008720D8" w:rsidRDefault="008720D8" w:rsidP="00FF0A59">
      <w:pPr>
        <w:spacing w:after="0" w:line="240" w:lineRule="auto"/>
        <w:contextualSpacing/>
        <w:jc w:val="both"/>
        <w:rPr>
          <w:sz w:val="24"/>
          <w:szCs w:val="24"/>
        </w:rPr>
      </w:pPr>
    </w:p>
    <w:p w:rsidR="00F23B3F" w:rsidRDefault="00392E0C" w:rsidP="00FF0A59">
      <w:pPr>
        <w:spacing w:after="0" w:line="240" w:lineRule="auto"/>
        <w:contextualSpacing/>
        <w:jc w:val="both"/>
        <w:rPr>
          <w:sz w:val="24"/>
          <w:szCs w:val="24"/>
        </w:rPr>
      </w:pPr>
      <w:r>
        <w:rPr>
          <w:b/>
          <w:sz w:val="24"/>
          <w:szCs w:val="24"/>
          <w:u w:val="single"/>
        </w:rPr>
        <w:t>*This m</w:t>
      </w:r>
      <w:r w:rsidRPr="00392E0C">
        <w:rPr>
          <w:b/>
          <w:sz w:val="24"/>
          <w:szCs w:val="24"/>
          <w:u w:val="single"/>
        </w:rPr>
        <w:t xml:space="preserve">ake up class will be held in </w:t>
      </w:r>
      <w:r>
        <w:rPr>
          <w:b/>
          <w:sz w:val="24"/>
          <w:szCs w:val="24"/>
          <w:u w:val="single"/>
        </w:rPr>
        <w:t>YLS Room 121 6</w:t>
      </w:r>
      <w:r w:rsidRPr="00392E0C">
        <w:rPr>
          <w:b/>
          <w:sz w:val="24"/>
          <w:szCs w:val="24"/>
          <w:u w:val="single"/>
        </w:rPr>
        <w:t>:10-</w:t>
      </w:r>
      <w:r>
        <w:rPr>
          <w:b/>
          <w:sz w:val="24"/>
          <w:szCs w:val="24"/>
          <w:u w:val="single"/>
        </w:rPr>
        <w:t>8</w:t>
      </w:r>
      <w:r w:rsidRPr="00392E0C">
        <w:rPr>
          <w:b/>
          <w:sz w:val="24"/>
          <w:szCs w:val="24"/>
          <w:u w:val="single"/>
        </w:rPr>
        <w:t>:00 pm</w:t>
      </w:r>
      <w:r>
        <w:rPr>
          <w:sz w:val="24"/>
          <w:szCs w:val="24"/>
        </w:rPr>
        <w:t>)</w:t>
      </w:r>
    </w:p>
    <w:p w:rsidR="00196743" w:rsidRDefault="00392E0C" w:rsidP="00A13E20">
      <w:pPr>
        <w:spacing w:after="0" w:line="240" w:lineRule="auto"/>
        <w:contextualSpacing/>
        <w:jc w:val="both"/>
        <w:rPr>
          <w:b/>
          <w:sz w:val="24"/>
          <w:szCs w:val="24"/>
        </w:rPr>
      </w:pPr>
      <w:r>
        <w:rPr>
          <w:b/>
          <w:sz w:val="28"/>
          <w:szCs w:val="28"/>
        </w:rPr>
        <w:t xml:space="preserve">Wednesday, </w:t>
      </w:r>
      <w:r w:rsidR="004B1BF2">
        <w:rPr>
          <w:b/>
          <w:sz w:val="28"/>
          <w:szCs w:val="28"/>
        </w:rPr>
        <w:t>February 2</w:t>
      </w:r>
      <w:r>
        <w:rPr>
          <w:b/>
          <w:sz w:val="28"/>
          <w:szCs w:val="28"/>
        </w:rPr>
        <w:t>5</w:t>
      </w:r>
      <w:r w:rsidR="004B1BF2">
        <w:rPr>
          <w:b/>
          <w:sz w:val="28"/>
          <w:szCs w:val="28"/>
        </w:rPr>
        <w:t xml:space="preserve"> (Class 5): </w:t>
      </w:r>
      <w:r w:rsidR="00676225">
        <w:rPr>
          <w:b/>
          <w:sz w:val="28"/>
          <w:szCs w:val="28"/>
        </w:rPr>
        <w:t xml:space="preserve"> </w:t>
      </w:r>
      <w:r w:rsidR="008720D8" w:rsidRPr="008720D8">
        <w:rPr>
          <w:b/>
          <w:sz w:val="28"/>
          <w:szCs w:val="28"/>
        </w:rPr>
        <w:t xml:space="preserve">The Right to an </w:t>
      </w:r>
      <w:r w:rsidR="00A13E20">
        <w:rPr>
          <w:b/>
          <w:sz w:val="28"/>
          <w:szCs w:val="28"/>
        </w:rPr>
        <w:t>“</w:t>
      </w:r>
      <w:r w:rsidR="008720D8" w:rsidRPr="008720D8">
        <w:rPr>
          <w:b/>
          <w:sz w:val="28"/>
          <w:szCs w:val="28"/>
        </w:rPr>
        <w:t>Effective Judicial</w:t>
      </w:r>
      <w:r w:rsidR="00A13E20">
        <w:rPr>
          <w:b/>
          <w:sz w:val="28"/>
          <w:szCs w:val="28"/>
        </w:rPr>
        <w:t xml:space="preserve"> </w:t>
      </w:r>
      <w:r w:rsidR="008720D8" w:rsidRPr="008720D8">
        <w:rPr>
          <w:b/>
          <w:sz w:val="28"/>
          <w:szCs w:val="28"/>
        </w:rPr>
        <w:t>Remedy</w:t>
      </w:r>
      <w:r w:rsidR="00A13E20">
        <w:rPr>
          <w:b/>
          <w:sz w:val="28"/>
          <w:szCs w:val="28"/>
        </w:rPr>
        <w:t>” in Europe</w:t>
      </w:r>
    </w:p>
    <w:p w:rsidR="008C7D9C" w:rsidRPr="008C7D9C" w:rsidRDefault="008720D8" w:rsidP="008C7D9C">
      <w:pPr>
        <w:tabs>
          <w:tab w:val="left" w:pos="720"/>
        </w:tabs>
        <w:spacing w:after="0" w:line="240" w:lineRule="auto"/>
        <w:jc w:val="both"/>
        <w:rPr>
          <w:rFonts w:eastAsiaTheme="minorHAnsi" w:cs="Times New Roman"/>
          <w:sz w:val="24"/>
          <w:szCs w:val="24"/>
        </w:rPr>
      </w:pPr>
      <w:r>
        <w:rPr>
          <w:b/>
          <w:sz w:val="24"/>
          <w:szCs w:val="24"/>
        </w:rPr>
        <w:tab/>
      </w:r>
      <w:r w:rsidR="008C7D9C">
        <w:rPr>
          <w:sz w:val="24"/>
          <w:szCs w:val="24"/>
        </w:rPr>
        <w:t>Europe has also considered the obligations of governments to provide courts and lawyers.</w:t>
      </w:r>
      <w:r w:rsidR="00A873B0">
        <w:rPr>
          <w:rFonts w:eastAsiaTheme="minorHAnsi" w:cs="Times New Roman"/>
          <w:sz w:val="24"/>
          <w:szCs w:val="24"/>
        </w:rPr>
        <w:t xml:space="preserve">  Review Articles 5 and </w:t>
      </w:r>
      <w:r w:rsidR="008C7D9C">
        <w:rPr>
          <w:rFonts w:eastAsiaTheme="minorHAnsi" w:cs="Times New Roman"/>
          <w:sz w:val="24"/>
          <w:szCs w:val="24"/>
        </w:rPr>
        <w:t>6 of the European Conventi</w:t>
      </w:r>
      <w:r w:rsidR="00676225">
        <w:rPr>
          <w:rFonts w:eastAsiaTheme="minorHAnsi" w:cs="Times New Roman"/>
          <w:sz w:val="24"/>
          <w:szCs w:val="24"/>
        </w:rPr>
        <w:t xml:space="preserve">on on Human Rights (1950) </w:t>
      </w:r>
      <w:r w:rsidR="008C7D9C" w:rsidRPr="008C7D9C">
        <w:rPr>
          <w:rFonts w:eastAsiaTheme="minorHAnsi" w:cs="Times New Roman"/>
          <w:sz w:val="24"/>
          <w:szCs w:val="24"/>
        </w:rPr>
        <w:t>and Articles 47-50 of the Charter of Fundamental Rights of the European Union, from the first day’s readings.  Then review the excerpts</w:t>
      </w:r>
      <w:r w:rsidR="00B27BBE">
        <w:rPr>
          <w:rFonts w:eastAsiaTheme="minorHAnsi" w:cs="Times New Roman"/>
          <w:sz w:val="24"/>
          <w:szCs w:val="24"/>
        </w:rPr>
        <w:t xml:space="preserve"> of the cases and essays below.</w:t>
      </w:r>
    </w:p>
    <w:p w:rsidR="008C7D9C" w:rsidRPr="008C7D9C" w:rsidRDefault="008C7D9C" w:rsidP="008C7D9C">
      <w:pPr>
        <w:tabs>
          <w:tab w:val="left" w:pos="720"/>
        </w:tabs>
        <w:spacing w:after="0" w:line="240" w:lineRule="auto"/>
        <w:jc w:val="both"/>
        <w:rPr>
          <w:rFonts w:eastAsiaTheme="minorHAnsi" w:cs="Times New Roman"/>
          <w:sz w:val="24"/>
          <w:szCs w:val="24"/>
        </w:rPr>
      </w:pPr>
    </w:p>
    <w:p w:rsidR="00A20357" w:rsidRPr="008C7D9C" w:rsidRDefault="008C7D9C" w:rsidP="008C7D9C">
      <w:pPr>
        <w:tabs>
          <w:tab w:val="left" w:pos="720"/>
        </w:tabs>
        <w:spacing w:after="0" w:line="240" w:lineRule="auto"/>
        <w:jc w:val="both"/>
        <w:rPr>
          <w:sz w:val="24"/>
          <w:szCs w:val="24"/>
        </w:rPr>
      </w:pPr>
      <w:r w:rsidRPr="008C7D9C">
        <w:rPr>
          <w:rFonts w:eastAsiaTheme="minorHAnsi" w:cs="Times New Roman"/>
          <w:sz w:val="24"/>
          <w:szCs w:val="24"/>
        </w:rPr>
        <w:tab/>
      </w:r>
      <w:r w:rsidR="003F677F" w:rsidRPr="008C7D9C">
        <w:rPr>
          <w:sz w:val="24"/>
          <w:szCs w:val="24"/>
        </w:rPr>
        <w:t xml:space="preserve"> </w:t>
      </w:r>
      <w:r w:rsidR="00F23B3F" w:rsidRPr="008C7D9C">
        <w:rPr>
          <w:sz w:val="24"/>
          <w:szCs w:val="24"/>
        </w:rPr>
        <w:t xml:space="preserve">How does the U.S. case law overlap or differ from that of the European Court of Human Rights in </w:t>
      </w:r>
      <w:r w:rsidR="00F23B3F" w:rsidRPr="008C7D9C">
        <w:rPr>
          <w:i/>
          <w:sz w:val="24"/>
          <w:szCs w:val="24"/>
        </w:rPr>
        <w:t>Airey</w:t>
      </w:r>
      <w:r w:rsidR="00F23B3F" w:rsidRPr="008C7D9C">
        <w:rPr>
          <w:sz w:val="24"/>
          <w:szCs w:val="24"/>
        </w:rPr>
        <w:t xml:space="preserve">? </w:t>
      </w:r>
      <w:r>
        <w:rPr>
          <w:sz w:val="24"/>
          <w:szCs w:val="24"/>
        </w:rPr>
        <w:t xml:space="preserve">What is the relationship of lawyers to </w:t>
      </w:r>
      <w:r w:rsidR="00A13E20" w:rsidRPr="008C7D9C">
        <w:rPr>
          <w:sz w:val="24"/>
          <w:szCs w:val="24"/>
        </w:rPr>
        <w:t xml:space="preserve">“effective” remedies? </w:t>
      </w:r>
      <w:r>
        <w:rPr>
          <w:sz w:val="24"/>
          <w:szCs w:val="24"/>
        </w:rPr>
        <w:t xml:space="preserve"> And what else is required under the idea of the right to an “effective judicial remedy”?  </w:t>
      </w:r>
      <w:r w:rsidR="00F23B3F" w:rsidRPr="008C7D9C">
        <w:rPr>
          <w:sz w:val="24"/>
          <w:szCs w:val="24"/>
        </w:rPr>
        <w:t xml:space="preserve">What positive obligations flow?  And what are the boundaries of these rights? </w:t>
      </w:r>
      <w:r w:rsidR="00676225">
        <w:rPr>
          <w:sz w:val="24"/>
          <w:szCs w:val="24"/>
        </w:rPr>
        <w:t xml:space="preserve"> </w:t>
      </w:r>
      <w:r w:rsidR="00804FEA">
        <w:rPr>
          <w:sz w:val="24"/>
          <w:szCs w:val="24"/>
        </w:rPr>
        <w:t xml:space="preserve">How is the approach of the Inter-American Commission similar </w:t>
      </w:r>
      <w:r w:rsidR="00532252">
        <w:rPr>
          <w:sz w:val="24"/>
          <w:szCs w:val="24"/>
        </w:rPr>
        <w:t>or different?</w:t>
      </w:r>
    </w:p>
    <w:p w:rsidR="00F23B3F" w:rsidRPr="008C7D9C" w:rsidRDefault="00F23B3F" w:rsidP="00A20357">
      <w:pPr>
        <w:spacing w:after="0" w:line="240" w:lineRule="auto"/>
        <w:contextualSpacing/>
        <w:jc w:val="both"/>
        <w:rPr>
          <w:rFonts w:asciiTheme="minorHAnsi" w:hAnsiTheme="minorHAnsi"/>
          <w:sz w:val="24"/>
          <w:szCs w:val="24"/>
        </w:rPr>
      </w:pPr>
    </w:p>
    <w:p w:rsidR="00A20357" w:rsidRDefault="00A20357" w:rsidP="00A20357">
      <w:pPr>
        <w:ind w:firstLine="720"/>
        <w:rPr>
          <w:rFonts w:asciiTheme="minorHAnsi" w:hAnsiTheme="minorHAnsi" w:cs="Arial"/>
          <w:color w:val="252525"/>
          <w:sz w:val="24"/>
          <w:szCs w:val="24"/>
        </w:rPr>
      </w:pPr>
      <w:r w:rsidRPr="00D3627D">
        <w:rPr>
          <w:rFonts w:asciiTheme="minorHAnsi" w:hAnsiTheme="minorHAnsi"/>
          <w:i/>
          <w:sz w:val="24"/>
          <w:szCs w:val="24"/>
        </w:rPr>
        <w:t>Airey v. Ireland</w:t>
      </w:r>
      <w:r w:rsidRPr="00D3627D">
        <w:rPr>
          <w:rFonts w:asciiTheme="minorHAnsi" w:hAnsiTheme="minorHAnsi"/>
          <w:sz w:val="24"/>
          <w:szCs w:val="24"/>
        </w:rPr>
        <w:t xml:space="preserve">, </w:t>
      </w:r>
      <w:r w:rsidRPr="00D3627D">
        <w:rPr>
          <w:rFonts w:asciiTheme="minorHAnsi" w:hAnsiTheme="minorHAnsi" w:cs="Arial"/>
          <w:color w:val="252525"/>
          <w:sz w:val="24"/>
          <w:szCs w:val="24"/>
        </w:rPr>
        <w:t>32 Eur. Ct. H.R. (ser. A) (1979)</w:t>
      </w:r>
    </w:p>
    <w:p w:rsidR="00804FEA" w:rsidRDefault="00804FEA" w:rsidP="00804FEA">
      <w:pPr>
        <w:spacing w:after="0" w:line="240" w:lineRule="auto"/>
        <w:ind w:left="720"/>
        <w:contextualSpacing/>
        <w:jc w:val="both"/>
        <w:rPr>
          <w:i/>
          <w:sz w:val="24"/>
          <w:szCs w:val="24"/>
        </w:rPr>
      </w:pPr>
      <w:r>
        <w:rPr>
          <w:sz w:val="24"/>
          <w:szCs w:val="24"/>
        </w:rPr>
        <w:t xml:space="preserve">Excerpts from “Rights to Effective Remedies,” by Dinah Shelton, in </w:t>
      </w:r>
      <w:r w:rsidRPr="004B1BF2">
        <w:rPr>
          <w:i/>
          <w:sz w:val="24"/>
          <w:szCs w:val="24"/>
        </w:rPr>
        <w:t xml:space="preserve">The EU Charter of </w:t>
      </w:r>
    </w:p>
    <w:p w:rsidR="00804FEA" w:rsidRDefault="00804FEA" w:rsidP="00804FEA">
      <w:pPr>
        <w:spacing w:after="0" w:line="240" w:lineRule="auto"/>
        <w:ind w:left="720" w:firstLine="720"/>
        <w:contextualSpacing/>
        <w:jc w:val="both"/>
        <w:rPr>
          <w:sz w:val="24"/>
          <w:szCs w:val="24"/>
        </w:rPr>
      </w:pPr>
      <w:r>
        <w:rPr>
          <w:i/>
          <w:sz w:val="24"/>
          <w:szCs w:val="24"/>
        </w:rPr>
        <w:t xml:space="preserve">Fundamental </w:t>
      </w:r>
      <w:r w:rsidRPr="004B1BF2">
        <w:rPr>
          <w:i/>
          <w:sz w:val="24"/>
          <w:szCs w:val="24"/>
        </w:rPr>
        <w:t>Rights: A Commentary</w:t>
      </w:r>
      <w:r>
        <w:rPr>
          <w:i/>
          <w:sz w:val="24"/>
          <w:szCs w:val="24"/>
        </w:rPr>
        <w:t>,</w:t>
      </w:r>
      <w:r>
        <w:rPr>
          <w:sz w:val="24"/>
          <w:szCs w:val="24"/>
        </w:rPr>
        <w:t xml:space="preserve"> 1209-1228 (2014)</w:t>
      </w:r>
    </w:p>
    <w:p w:rsidR="00804FEA" w:rsidRPr="00D3627D" w:rsidRDefault="00804FEA" w:rsidP="00A20357">
      <w:pPr>
        <w:ind w:firstLine="720"/>
        <w:rPr>
          <w:rFonts w:asciiTheme="minorHAnsi" w:hAnsiTheme="minorHAnsi"/>
          <w:sz w:val="24"/>
          <w:szCs w:val="24"/>
        </w:rPr>
      </w:pPr>
    </w:p>
    <w:p w:rsidR="008720D8" w:rsidRPr="00D3627D" w:rsidRDefault="00047301" w:rsidP="00A20357">
      <w:pPr>
        <w:spacing w:after="0" w:line="240" w:lineRule="auto"/>
        <w:ind w:firstLine="720"/>
        <w:contextualSpacing/>
        <w:jc w:val="both"/>
        <w:rPr>
          <w:rFonts w:asciiTheme="minorHAnsi" w:hAnsiTheme="minorHAnsi"/>
          <w:sz w:val="24"/>
          <w:szCs w:val="24"/>
        </w:rPr>
      </w:pPr>
      <w:r w:rsidRPr="00D3627D">
        <w:rPr>
          <w:rFonts w:asciiTheme="minorHAnsi" w:hAnsiTheme="minorHAnsi"/>
          <w:i/>
          <w:sz w:val="24"/>
          <w:szCs w:val="24"/>
        </w:rPr>
        <w:lastRenderedPageBreak/>
        <w:t>Valiuline v.</w:t>
      </w:r>
      <w:r w:rsidRPr="00D3627D">
        <w:rPr>
          <w:rFonts w:asciiTheme="minorHAnsi" w:hAnsiTheme="minorHAnsi"/>
          <w:b/>
          <w:i/>
          <w:sz w:val="24"/>
          <w:szCs w:val="24"/>
        </w:rPr>
        <w:t xml:space="preserve"> </w:t>
      </w:r>
      <w:r w:rsidRPr="00D3627D">
        <w:rPr>
          <w:rFonts w:asciiTheme="minorHAnsi" w:hAnsiTheme="minorHAnsi"/>
          <w:i/>
          <w:sz w:val="24"/>
          <w:szCs w:val="24"/>
        </w:rPr>
        <w:t>Lithuana</w:t>
      </w:r>
      <w:r w:rsidR="00A873B0">
        <w:rPr>
          <w:rFonts w:asciiTheme="minorHAnsi" w:hAnsiTheme="minorHAnsi"/>
          <w:sz w:val="24"/>
          <w:szCs w:val="24"/>
        </w:rPr>
        <w:t>,</w:t>
      </w:r>
      <w:r w:rsidRPr="00D3627D">
        <w:rPr>
          <w:rFonts w:asciiTheme="minorHAnsi" w:hAnsiTheme="minorHAnsi"/>
          <w:sz w:val="24"/>
          <w:szCs w:val="24"/>
        </w:rPr>
        <w:t xml:space="preserve"> app</w:t>
      </w:r>
      <w:r w:rsidR="006920CF" w:rsidRPr="00D3627D">
        <w:rPr>
          <w:rFonts w:asciiTheme="minorHAnsi" w:hAnsiTheme="minorHAnsi"/>
          <w:sz w:val="24"/>
          <w:szCs w:val="24"/>
        </w:rPr>
        <w:t>.</w:t>
      </w:r>
      <w:r w:rsidR="004B1BF2">
        <w:rPr>
          <w:rFonts w:asciiTheme="minorHAnsi" w:hAnsiTheme="minorHAnsi"/>
          <w:sz w:val="24"/>
          <w:szCs w:val="24"/>
        </w:rPr>
        <w:t xml:space="preserve"> N</w:t>
      </w:r>
      <w:r w:rsidRPr="00D3627D">
        <w:rPr>
          <w:rFonts w:asciiTheme="minorHAnsi" w:hAnsiTheme="minorHAnsi"/>
          <w:sz w:val="24"/>
          <w:szCs w:val="24"/>
        </w:rPr>
        <w:t xml:space="preserve">o. 33234/07, Eur. Ct. H.R. </w:t>
      </w:r>
      <w:r w:rsidR="00D3627D">
        <w:rPr>
          <w:rFonts w:asciiTheme="minorHAnsi" w:hAnsiTheme="minorHAnsi"/>
          <w:sz w:val="24"/>
          <w:szCs w:val="24"/>
        </w:rPr>
        <w:t>(</w:t>
      </w:r>
      <w:r w:rsidRPr="00D3627D">
        <w:rPr>
          <w:rFonts w:asciiTheme="minorHAnsi" w:hAnsiTheme="minorHAnsi"/>
          <w:sz w:val="24"/>
          <w:szCs w:val="24"/>
        </w:rPr>
        <w:t>March 26, 2013</w:t>
      </w:r>
      <w:r w:rsidR="00D3627D">
        <w:rPr>
          <w:rFonts w:asciiTheme="minorHAnsi" w:hAnsiTheme="minorHAnsi"/>
          <w:sz w:val="24"/>
          <w:szCs w:val="24"/>
        </w:rPr>
        <w:t>)</w:t>
      </w:r>
    </w:p>
    <w:p w:rsidR="006920CF" w:rsidRPr="00D3627D" w:rsidRDefault="006920CF" w:rsidP="00FF0A59">
      <w:pPr>
        <w:spacing w:after="0" w:line="240" w:lineRule="auto"/>
        <w:contextualSpacing/>
        <w:jc w:val="both"/>
        <w:rPr>
          <w:rFonts w:asciiTheme="minorHAnsi" w:hAnsiTheme="minorHAnsi"/>
          <w:sz w:val="24"/>
          <w:szCs w:val="24"/>
        </w:rPr>
      </w:pPr>
    </w:p>
    <w:p w:rsidR="00D3627D" w:rsidRDefault="006920CF" w:rsidP="008C7D9C">
      <w:pPr>
        <w:spacing w:after="0" w:line="240" w:lineRule="auto"/>
        <w:contextualSpacing/>
        <w:jc w:val="both"/>
        <w:rPr>
          <w:i/>
          <w:sz w:val="24"/>
          <w:szCs w:val="24"/>
        </w:rPr>
      </w:pPr>
      <w:r>
        <w:rPr>
          <w:sz w:val="24"/>
          <w:szCs w:val="24"/>
        </w:rPr>
        <w:tab/>
      </w:r>
      <w:r w:rsidR="00A20357" w:rsidRPr="00A20357">
        <w:rPr>
          <w:sz w:val="24"/>
          <w:szCs w:val="24"/>
        </w:rPr>
        <w:t xml:space="preserve">James </w:t>
      </w:r>
      <w:r w:rsidR="00A20357">
        <w:rPr>
          <w:sz w:val="24"/>
          <w:szCs w:val="24"/>
        </w:rPr>
        <w:t xml:space="preserve">Gallen, O’Keeffe v. Ireland: </w:t>
      </w:r>
      <w:r w:rsidR="00A20357" w:rsidRPr="00D3627D">
        <w:rPr>
          <w:i/>
          <w:sz w:val="24"/>
          <w:szCs w:val="24"/>
        </w:rPr>
        <w:t>The Liability of S</w:t>
      </w:r>
      <w:r w:rsidR="00B27BBE">
        <w:rPr>
          <w:i/>
          <w:sz w:val="24"/>
          <w:szCs w:val="24"/>
        </w:rPr>
        <w:t>tates for Failure to Provide an</w:t>
      </w:r>
    </w:p>
    <w:p w:rsidR="00A20357" w:rsidRDefault="00A20357" w:rsidP="00BF31B4">
      <w:pPr>
        <w:spacing w:after="0" w:line="240" w:lineRule="auto"/>
        <w:ind w:left="1440"/>
        <w:contextualSpacing/>
        <w:jc w:val="both"/>
        <w:rPr>
          <w:sz w:val="24"/>
          <w:szCs w:val="24"/>
        </w:rPr>
      </w:pPr>
      <w:r w:rsidRPr="00D3627D">
        <w:rPr>
          <w:i/>
          <w:sz w:val="24"/>
          <w:szCs w:val="24"/>
        </w:rPr>
        <w:t>Effective System for the Detection and Prevention of Child Sexual Abuse in Education</w:t>
      </w:r>
      <w:r>
        <w:rPr>
          <w:sz w:val="24"/>
          <w:szCs w:val="24"/>
        </w:rPr>
        <w:t>, 78 Modern L. Rev. 151 (2015)</w:t>
      </w:r>
    </w:p>
    <w:p w:rsidR="00804FEA" w:rsidRDefault="00804FEA" w:rsidP="00BF31B4">
      <w:pPr>
        <w:spacing w:after="0" w:line="240" w:lineRule="auto"/>
        <w:ind w:left="1440"/>
        <w:contextualSpacing/>
        <w:jc w:val="both"/>
        <w:rPr>
          <w:sz w:val="24"/>
          <w:szCs w:val="24"/>
        </w:rPr>
      </w:pPr>
    </w:p>
    <w:p w:rsidR="00804FEA" w:rsidRDefault="006C4D54" w:rsidP="00804FEA">
      <w:pPr>
        <w:spacing w:after="0" w:line="240" w:lineRule="auto"/>
        <w:ind w:left="1440" w:hanging="720"/>
        <w:contextualSpacing/>
        <w:jc w:val="both"/>
        <w:rPr>
          <w:sz w:val="24"/>
          <w:szCs w:val="24"/>
        </w:rPr>
      </w:pPr>
      <w:r>
        <w:rPr>
          <w:i/>
          <w:sz w:val="24"/>
          <w:szCs w:val="24"/>
        </w:rPr>
        <w:t>Lenah</w:t>
      </w:r>
      <w:r w:rsidR="00804FEA" w:rsidRPr="004E1B42">
        <w:rPr>
          <w:i/>
          <w:sz w:val="24"/>
          <w:szCs w:val="24"/>
        </w:rPr>
        <w:t>an (Gonzales) v. US</w:t>
      </w:r>
      <w:r w:rsidR="00804FEA">
        <w:rPr>
          <w:sz w:val="24"/>
          <w:szCs w:val="24"/>
        </w:rPr>
        <w:t>, Case 12.626, Inter-Am. Comm’n. H.R., Report No.80/11 (2011)</w:t>
      </w:r>
    </w:p>
    <w:p w:rsidR="00A20357" w:rsidRDefault="00A20357" w:rsidP="00FF0A59">
      <w:pPr>
        <w:spacing w:after="0" w:line="240" w:lineRule="auto"/>
        <w:contextualSpacing/>
        <w:jc w:val="both"/>
        <w:rPr>
          <w:sz w:val="24"/>
          <w:szCs w:val="24"/>
        </w:rPr>
      </w:pPr>
    </w:p>
    <w:p w:rsidR="00F23B3F" w:rsidRPr="005B1239" w:rsidRDefault="00E83E09" w:rsidP="00FF0A59">
      <w:pPr>
        <w:spacing w:after="0" w:line="240" w:lineRule="auto"/>
        <w:contextualSpacing/>
        <w:jc w:val="both"/>
        <w:rPr>
          <w:sz w:val="24"/>
          <w:szCs w:val="24"/>
        </w:rPr>
      </w:pPr>
      <w:r>
        <w:rPr>
          <w:sz w:val="24"/>
          <w:szCs w:val="24"/>
        </w:rPr>
        <w:tab/>
      </w:r>
    </w:p>
    <w:p w:rsidR="006920CF" w:rsidRDefault="00D3627D" w:rsidP="006920CF">
      <w:pPr>
        <w:tabs>
          <w:tab w:val="left" w:pos="720"/>
          <w:tab w:val="left" w:pos="1440"/>
        </w:tabs>
        <w:autoSpaceDE w:val="0"/>
        <w:autoSpaceDN w:val="0"/>
        <w:adjustRightInd w:val="0"/>
        <w:spacing w:after="0" w:line="240" w:lineRule="auto"/>
        <w:ind w:left="1440" w:hanging="1440"/>
        <w:contextualSpacing/>
        <w:rPr>
          <w:b/>
          <w:sz w:val="28"/>
          <w:szCs w:val="28"/>
        </w:rPr>
      </w:pPr>
      <w:r>
        <w:rPr>
          <w:b/>
          <w:sz w:val="28"/>
          <w:szCs w:val="28"/>
        </w:rPr>
        <w:t>March 2 (C</w:t>
      </w:r>
      <w:r w:rsidR="004B1BF2">
        <w:rPr>
          <w:b/>
          <w:sz w:val="28"/>
          <w:szCs w:val="28"/>
        </w:rPr>
        <w:t>lass 6):</w:t>
      </w:r>
      <w:r w:rsidR="00A13E20">
        <w:rPr>
          <w:b/>
          <w:sz w:val="28"/>
          <w:szCs w:val="28"/>
        </w:rPr>
        <w:t xml:space="preserve"> </w:t>
      </w:r>
      <w:r w:rsidR="00676225">
        <w:rPr>
          <w:b/>
          <w:sz w:val="28"/>
          <w:szCs w:val="28"/>
        </w:rPr>
        <w:t xml:space="preserve"> </w:t>
      </w:r>
      <w:r w:rsidR="00A13E20">
        <w:rPr>
          <w:b/>
          <w:sz w:val="28"/>
          <w:szCs w:val="28"/>
        </w:rPr>
        <w:t>Mandated Arbitration and Obligatory Mediation</w:t>
      </w:r>
    </w:p>
    <w:p w:rsidR="006920CF" w:rsidRPr="00F23B3F" w:rsidRDefault="00F23B3F" w:rsidP="006920CF">
      <w:pPr>
        <w:spacing w:after="0" w:line="240" w:lineRule="auto"/>
        <w:contextualSpacing/>
        <w:jc w:val="both"/>
        <w:rPr>
          <w:sz w:val="24"/>
          <w:szCs w:val="24"/>
        </w:rPr>
      </w:pPr>
      <w:r>
        <w:rPr>
          <w:b/>
          <w:sz w:val="28"/>
          <w:szCs w:val="28"/>
        </w:rPr>
        <w:tab/>
      </w:r>
      <w:r w:rsidR="001E3553">
        <w:rPr>
          <w:sz w:val="24"/>
          <w:szCs w:val="24"/>
        </w:rPr>
        <w:t xml:space="preserve">In 1925, Congress enacted an arbitration act, known today as the Federal Arbitration Act (FAA) and making enforceable arbitration clauses in contracts.  In the </w:t>
      </w:r>
      <w:r>
        <w:rPr>
          <w:sz w:val="24"/>
          <w:szCs w:val="24"/>
        </w:rPr>
        <w:t>mid-1950s, the United States Supreme Court</w:t>
      </w:r>
      <w:r w:rsidR="001E3553">
        <w:rPr>
          <w:sz w:val="24"/>
          <w:szCs w:val="24"/>
        </w:rPr>
        <w:t xml:space="preserve"> concluded that, when </w:t>
      </w:r>
      <w:r>
        <w:rPr>
          <w:sz w:val="24"/>
          <w:szCs w:val="24"/>
        </w:rPr>
        <w:t>federal statutory rights were in issue</w:t>
      </w:r>
      <w:r w:rsidR="001E3553">
        <w:rPr>
          <w:sz w:val="24"/>
          <w:szCs w:val="24"/>
        </w:rPr>
        <w:t>, a brokerage customer was not closed out of courts by a form arbitration clause</w:t>
      </w:r>
      <w:r>
        <w:rPr>
          <w:sz w:val="24"/>
          <w:szCs w:val="24"/>
        </w:rPr>
        <w:t xml:space="preserve">. Within a few decades, </w:t>
      </w:r>
      <w:r w:rsidR="001E3553">
        <w:rPr>
          <w:sz w:val="24"/>
          <w:szCs w:val="24"/>
        </w:rPr>
        <w:t xml:space="preserve">the Court </w:t>
      </w:r>
      <w:r>
        <w:rPr>
          <w:sz w:val="24"/>
          <w:szCs w:val="24"/>
        </w:rPr>
        <w:t>reinterpreted the 1925 legislation to require consumers and employees to use arbitration</w:t>
      </w:r>
      <w:r w:rsidR="001E3553">
        <w:rPr>
          <w:sz w:val="24"/>
          <w:szCs w:val="24"/>
        </w:rPr>
        <w:t>,</w:t>
      </w:r>
      <w:r>
        <w:rPr>
          <w:sz w:val="24"/>
          <w:szCs w:val="24"/>
        </w:rPr>
        <w:t xml:space="preserve"> if</w:t>
      </w:r>
      <w:r w:rsidR="001E3553">
        <w:rPr>
          <w:sz w:val="24"/>
          <w:szCs w:val="24"/>
        </w:rPr>
        <w:t xml:space="preserve"> specified when goods are</w:t>
      </w:r>
      <w:r>
        <w:rPr>
          <w:sz w:val="24"/>
          <w:szCs w:val="24"/>
        </w:rPr>
        <w:t xml:space="preserve"> purchase</w:t>
      </w:r>
      <w:r w:rsidR="001E3553">
        <w:rPr>
          <w:sz w:val="24"/>
          <w:szCs w:val="24"/>
        </w:rPr>
        <w:t>d</w:t>
      </w:r>
      <w:r>
        <w:rPr>
          <w:sz w:val="24"/>
          <w:szCs w:val="24"/>
        </w:rPr>
        <w:t xml:space="preserve"> or job </w:t>
      </w:r>
      <w:r w:rsidR="001E3553">
        <w:rPr>
          <w:sz w:val="24"/>
          <w:szCs w:val="24"/>
        </w:rPr>
        <w:t>applications oblige it.</w:t>
      </w:r>
      <w:r>
        <w:rPr>
          <w:sz w:val="24"/>
          <w:szCs w:val="24"/>
        </w:rPr>
        <w:t xml:space="preserve">  </w:t>
      </w:r>
      <w:r w:rsidR="001E3553">
        <w:rPr>
          <w:sz w:val="24"/>
          <w:szCs w:val="24"/>
        </w:rPr>
        <w:t xml:space="preserve"> The Court based its holdings on the view that arbitrations provide an “effective vindication” of statutory rights.  What might be the measures of effective vindication? </w:t>
      </w:r>
      <w:r w:rsidR="00B27BBE">
        <w:rPr>
          <w:sz w:val="24"/>
          <w:szCs w:val="24"/>
        </w:rPr>
        <w:t xml:space="preserve"> </w:t>
      </w:r>
      <w:r w:rsidR="001E3553">
        <w:rPr>
          <w:sz w:val="24"/>
          <w:szCs w:val="24"/>
        </w:rPr>
        <w:t>Consider the European casela, and how do the approach</w:t>
      </w:r>
      <w:r w:rsidR="00B27BBE">
        <w:rPr>
          <w:sz w:val="24"/>
          <w:szCs w:val="24"/>
        </w:rPr>
        <w:t>es in the U.S. and Europe vary?</w:t>
      </w:r>
    </w:p>
    <w:p w:rsidR="00F23B3F" w:rsidRPr="00F0420A" w:rsidRDefault="00F23B3F" w:rsidP="006920CF">
      <w:pPr>
        <w:spacing w:after="0" w:line="240" w:lineRule="auto"/>
        <w:contextualSpacing/>
        <w:jc w:val="both"/>
        <w:rPr>
          <w:b/>
          <w:sz w:val="28"/>
          <w:szCs w:val="28"/>
        </w:rPr>
      </w:pPr>
    </w:p>
    <w:p w:rsidR="006920CF" w:rsidRDefault="006920CF" w:rsidP="006920CF">
      <w:pPr>
        <w:spacing w:after="0" w:line="240" w:lineRule="auto"/>
        <w:contextualSpacing/>
        <w:jc w:val="both"/>
        <w:rPr>
          <w:sz w:val="24"/>
          <w:szCs w:val="24"/>
        </w:rPr>
      </w:pPr>
      <w:r>
        <w:rPr>
          <w:sz w:val="24"/>
          <w:szCs w:val="24"/>
        </w:rPr>
        <w:tab/>
      </w:r>
      <w:r w:rsidR="004B1BF2" w:rsidRPr="004B1BF2">
        <w:rPr>
          <w:i/>
          <w:sz w:val="24"/>
          <w:szCs w:val="24"/>
        </w:rPr>
        <w:t>Wilko v. Swan</w:t>
      </w:r>
      <w:r w:rsidR="004B1BF2" w:rsidRPr="004B1BF2">
        <w:rPr>
          <w:sz w:val="24"/>
          <w:szCs w:val="24"/>
        </w:rPr>
        <w:t xml:space="preserve">, </w:t>
      </w:r>
      <w:r w:rsidR="00A20357" w:rsidRPr="004B1BF2">
        <w:rPr>
          <w:sz w:val="24"/>
          <w:szCs w:val="24"/>
        </w:rPr>
        <w:t>346</w:t>
      </w:r>
      <w:r w:rsidRPr="004B1BF2">
        <w:rPr>
          <w:sz w:val="24"/>
          <w:szCs w:val="24"/>
        </w:rPr>
        <w:t xml:space="preserve"> U.S. </w:t>
      </w:r>
      <w:r w:rsidR="00A20357" w:rsidRPr="004B1BF2">
        <w:rPr>
          <w:sz w:val="24"/>
          <w:szCs w:val="24"/>
        </w:rPr>
        <w:t>427</w:t>
      </w:r>
      <w:r w:rsidR="004B1BF2">
        <w:rPr>
          <w:sz w:val="24"/>
          <w:szCs w:val="24"/>
        </w:rPr>
        <w:t xml:space="preserve"> </w:t>
      </w:r>
      <w:r w:rsidR="00676225">
        <w:rPr>
          <w:sz w:val="24"/>
          <w:szCs w:val="24"/>
        </w:rPr>
        <w:t>(1953)</w:t>
      </w:r>
    </w:p>
    <w:p w:rsidR="004B1BF2" w:rsidRPr="004B1BF2" w:rsidRDefault="004B1BF2" w:rsidP="006920CF">
      <w:pPr>
        <w:spacing w:after="0" w:line="240" w:lineRule="auto"/>
        <w:contextualSpacing/>
        <w:jc w:val="both"/>
        <w:rPr>
          <w:sz w:val="24"/>
          <w:szCs w:val="24"/>
        </w:rPr>
      </w:pPr>
    </w:p>
    <w:p w:rsidR="006920CF" w:rsidRDefault="006920CF" w:rsidP="006920CF">
      <w:pPr>
        <w:spacing w:after="0" w:line="240" w:lineRule="auto"/>
        <w:ind w:firstLine="720"/>
        <w:contextualSpacing/>
        <w:jc w:val="both"/>
        <w:rPr>
          <w:sz w:val="24"/>
          <w:szCs w:val="24"/>
        </w:rPr>
      </w:pPr>
      <w:r w:rsidRPr="004B1BF2">
        <w:rPr>
          <w:i/>
          <w:sz w:val="24"/>
          <w:szCs w:val="24"/>
        </w:rPr>
        <w:t>AT</w:t>
      </w:r>
      <w:r w:rsidR="00A13E20">
        <w:rPr>
          <w:i/>
          <w:sz w:val="24"/>
          <w:szCs w:val="24"/>
        </w:rPr>
        <w:t>&amp;</w:t>
      </w:r>
      <w:r w:rsidRPr="004B1BF2">
        <w:rPr>
          <w:i/>
          <w:sz w:val="24"/>
          <w:szCs w:val="24"/>
        </w:rPr>
        <w:t>T v. Concepcion</w:t>
      </w:r>
      <w:r w:rsidR="00B27BBE">
        <w:rPr>
          <w:sz w:val="24"/>
          <w:szCs w:val="24"/>
        </w:rPr>
        <w:t xml:space="preserve">, </w:t>
      </w:r>
      <w:r w:rsidRPr="004B1BF2">
        <w:rPr>
          <w:sz w:val="24"/>
          <w:szCs w:val="24"/>
        </w:rPr>
        <w:t>131 S. Ct. 1740 (2011)</w:t>
      </w:r>
    </w:p>
    <w:p w:rsidR="004B1BF2" w:rsidRPr="004B1BF2" w:rsidRDefault="004B1BF2" w:rsidP="00676225">
      <w:pPr>
        <w:spacing w:after="0" w:line="240" w:lineRule="auto"/>
        <w:contextualSpacing/>
        <w:jc w:val="both"/>
        <w:rPr>
          <w:sz w:val="24"/>
          <w:szCs w:val="24"/>
        </w:rPr>
      </w:pPr>
    </w:p>
    <w:p w:rsidR="006920CF" w:rsidRDefault="006920CF" w:rsidP="006920CF">
      <w:pPr>
        <w:spacing w:after="0" w:line="240" w:lineRule="auto"/>
        <w:contextualSpacing/>
        <w:jc w:val="both"/>
        <w:rPr>
          <w:sz w:val="24"/>
          <w:szCs w:val="24"/>
        </w:rPr>
      </w:pPr>
      <w:r w:rsidRPr="004B1BF2">
        <w:rPr>
          <w:sz w:val="24"/>
          <w:szCs w:val="24"/>
        </w:rPr>
        <w:tab/>
      </w:r>
      <w:r w:rsidRPr="004B1BF2">
        <w:rPr>
          <w:i/>
          <w:sz w:val="24"/>
          <w:szCs w:val="24"/>
        </w:rPr>
        <w:t>American Express v. Italian Colors</w:t>
      </w:r>
      <w:r w:rsidR="00572093">
        <w:rPr>
          <w:sz w:val="24"/>
          <w:szCs w:val="24"/>
        </w:rPr>
        <w:t>, 133 S. Ct. 2304</w:t>
      </w:r>
      <w:r w:rsidR="00676225">
        <w:rPr>
          <w:sz w:val="24"/>
          <w:szCs w:val="24"/>
        </w:rPr>
        <w:t xml:space="preserve"> (2013)</w:t>
      </w:r>
    </w:p>
    <w:p w:rsidR="004B1BF2" w:rsidRPr="004B1BF2" w:rsidRDefault="004B1BF2" w:rsidP="006920CF">
      <w:pPr>
        <w:spacing w:after="0" w:line="240" w:lineRule="auto"/>
        <w:contextualSpacing/>
        <w:jc w:val="both"/>
        <w:rPr>
          <w:sz w:val="24"/>
          <w:szCs w:val="24"/>
        </w:rPr>
      </w:pPr>
    </w:p>
    <w:p w:rsidR="006920CF" w:rsidRDefault="006920CF" w:rsidP="006920CF">
      <w:pPr>
        <w:spacing w:after="0" w:line="240" w:lineRule="auto"/>
        <w:ind w:firstLine="720"/>
        <w:contextualSpacing/>
        <w:jc w:val="both"/>
        <w:rPr>
          <w:sz w:val="24"/>
          <w:szCs w:val="24"/>
        </w:rPr>
      </w:pPr>
      <w:r w:rsidRPr="004B1BF2">
        <w:rPr>
          <w:i/>
          <w:sz w:val="24"/>
          <w:szCs w:val="24"/>
        </w:rPr>
        <w:t>Alassini v. Telecom Italia SpA</w:t>
      </w:r>
      <w:r w:rsidR="00A20357" w:rsidRPr="004B1BF2">
        <w:rPr>
          <w:sz w:val="24"/>
          <w:szCs w:val="24"/>
        </w:rPr>
        <w:t>, C-317/08 ECJ 18 March 2010</w:t>
      </w:r>
    </w:p>
    <w:p w:rsidR="004B1BF2" w:rsidRPr="004B1BF2" w:rsidRDefault="004B1BF2" w:rsidP="00676225">
      <w:pPr>
        <w:spacing w:after="0" w:line="240" w:lineRule="auto"/>
        <w:contextualSpacing/>
        <w:jc w:val="both"/>
        <w:rPr>
          <w:sz w:val="24"/>
          <w:szCs w:val="24"/>
        </w:rPr>
      </w:pPr>
    </w:p>
    <w:p w:rsidR="006920CF" w:rsidRPr="004B1BF2" w:rsidRDefault="006920CF" w:rsidP="006920CF">
      <w:pPr>
        <w:spacing w:after="0" w:line="240" w:lineRule="auto"/>
        <w:contextualSpacing/>
        <w:jc w:val="both"/>
        <w:rPr>
          <w:sz w:val="24"/>
          <w:szCs w:val="24"/>
        </w:rPr>
      </w:pPr>
      <w:r w:rsidRPr="004B1BF2">
        <w:rPr>
          <w:sz w:val="24"/>
          <w:szCs w:val="24"/>
        </w:rPr>
        <w:tab/>
      </w:r>
      <w:r w:rsidRPr="004B1BF2">
        <w:rPr>
          <w:i/>
          <w:sz w:val="24"/>
          <w:szCs w:val="24"/>
        </w:rPr>
        <w:t>Halsey v. Milton Keynes General Trust</w:t>
      </w:r>
      <w:r w:rsidRPr="004B1BF2">
        <w:rPr>
          <w:sz w:val="24"/>
          <w:szCs w:val="24"/>
        </w:rPr>
        <w:t>, NHS, Case No. B3/2003/1458</w:t>
      </w:r>
    </w:p>
    <w:p w:rsidR="00F23B3F" w:rsidRDefault="00F23B3F" w:rsidP="006920CF">
      <w:pPr>
        <w:spacing w:after="0" w:line="240" w:lineRule="auto"/>
        <w:contextualSpacing/>
        <w:jc w:val="both"/>
        <w:rPr>
          <w:sz w:val="24"/>
          <w:szCs w:val="24"/>
        </w:rPr>
      </w:pPr>
    </w:p>
    <w:p w:rsidR="006B511B" w:rsidRPr="004B1BF2" w:rsidRDefault="006920CF" w:rsidP="00F23B3F">
      <w:pPr>
        <w:spacing w:after="0" w:line="240" w:lineRule="auto"/>
        <w:ind w:firstLine="720"/>
        <w:contextualSpacing/>
        <w:jc w:val="both"/>
        <w:rPr>
          <w:sz w:val="24"/>
          <w:szCs w:val="24"/>
        </w:rPr>
      </w:pPr>
      <w:r w:rsidRPr="004B1BF2">
        <w:rPr>
          <w:sz w:val="24"/>
          <w:szCs w:val="24"/>
        </w:rPr>
        <w:t xml:space="preserve"> A.K.C. Koo, </w:t>
      </w:r>
      <w:r w:rsidRPr="00F23B3F">
        <w:rPr>
          <w:i/>
          <w:sz w:val="24"/>
          <w:szCs w:val="24"/>
        </w:rPr>
        <w:t>Ten Years after Halsey</w:t>
      </w:r>
      <w:r w:rsidRPr="004B1BF2">
        <w:rPr>
          <w:sz w:val="24"/>
          <w:szCs w:val="24"/>
        </w:rPr>
        <w:t>, 34 Civil Justice Quarterly 77 (2015)</w:t>
      </w:r>
    </w:p>
    <w:p w:rsidR="006B511B" w:rsidRPr="00676225" w:rsidRDefault="006B511B" w:rsidP="00FF0A59">
      <w:pPr>
        <w:spacing w:after="0" w:line="240" w:lineRule="auto"/>
        <w:contextualSpacing/>
        <w:jc w:val="both"/>
        <w:rPr>
          <w:sz w:val="24"/>
          <w:szCs w:val="24"/>
        </w:rPr>
      </w:pPr>
    </w:p>
    <w:p w:rsidR="00F23B3F" w:rsidRPr="00676225" w:rsidRDefault="00F23B3F" w:rsidP="00FF0A59">
      <w:pPr>
        <w:spacing w:after="0" w:line="240" w:lineRule="auto"/>
        <w:contextualSpacing/>
        <w:jc w:val="both"/>
        <w:rPr>
          <w:sz w:val="24"/>
          <w:szCs w:val="24"/>
        </w:rPr>
      </w:pPr>
    </w:p>
    <w:p w:rsidR="008720D8" w:rsidRDefault="004B1BF2" w:rsidP="00FF0A59">
      <w:pPr>
        <w:spacing w:after="0" w:line="240" w:lineRule="auto"/>
        <w:contextualSpacing/>
        <w:jc w:val="both"/>
        <w:rPr>
          <w:rFonts w:asciiTheme="minorHAnsi" w:hAnsiTheme="minorHAnsi"/>
          <w:b/>
          <w:sz w:val="28"/>
          <w:szCs w:val="28"/>
        </w:rPr>
      </w:pPr>
      <w:r w:rsidRPr="004B1BF2">
        <w:rPr>
          <w:rFonts w:asciiTheme="minorHAnsi" w:hAnsiTheme="minorHAnsi"/>
          <w:b/>
          <w:sz w:val="28"/>
          <w:szCs w:val="28"/>
        </w:rPr>
        <w:t xml:space="preserve">March </w:t>
      </w:r>
      <w:r w:rsidR="00F0420A" w:rsidRPr="004B1BF2">
        <w:rPr>
          <w:rFonts w:asciiTheme="minorHAnsi" w:hAnsiTheme="minorHAnsi"/>
          <w:b/>
          <w:sz w:val="28"/>
          <w:szCs w:val="28"/>
        </w:rPr>
        <w:t>9</w:t>
      </w:r>
      <w:r>
        <w:rPr>
          <w:rFonts w:asciiTheme="minorHAnsi" w:hAnsiTheme="minorHAnsi"/>
          <w:b/>
          <w:sz w:val="28"/>
          <w:szCs w:val="28"/>
        </w:rPr>
        <w:t xml:space="preserve"> </w:t>
      </w:r>
      <w:r w:rsidRPr="004B1BF2">
        <w:rPr>
          <w:rFonts w:asciiTheme="minorHAnsi" w:hAnsiTheme="minorHAnsi"/>
          <w:b/>
          <w:sz w:val="28"/>
          <w:szCs w:val="28"/>
        </w:rPr>
        <w:t>(</w:t>
      </w:r>
      <w:r w:rsidR="00A441A0" w:rsidRPr="004B1BF2">
        <w:rPr>
          <w:rFonts w:asciiTheme="minorHAnsi" w:hAnsiTheme="minorHAnsi"/>
          <w:b/>
          <w:sz w:val="28"/>
          <w:szCs w:val="28"/>
        </w:rPr>
        <w:t xml:space="preserve">Class </w:t>
      </w:r>
      <w:r w:rsidRPr="004B1BF2">
        <w:rPr>
          <w:rFonts w:asciiTheme="minorHAnsi" w:hAnsiTheme="minorHAnsi"/>
          <w:b/>
          <w:sz w:val="28"/>
          <w:szCs w:val="28"/>
        </w:rPr>
        <w:t>7)</w:t>
      </w:r>
      <w:r>
        <w:rPr>
          <w:rFonts w:asciiTheme="minorHAnsi" w:hAnsiTheme="minorHAnsi"/>
          <w:b/>
          <w:sz w:val="28"/>
          <w:szCs w:val="28"/>
        </w:rPr>
        <w:t>:</w:t>
      </w:r>
      <w:r w:rsidR="00676225">
        <w:rPr>
          <w:rFonts w:asciiTheme="minorHAnsi" w:hAnsiTheme="minorHAnsi"/>
          <w:b/>
          <w:sz w:val="28"/>
          <w:szCs w:val="28"/>
        </w:rPr>
        <w:t xml:space="preserve"> </w:t>
      </w:r>
      <w:r>
        <w:rPr>
          <w:rFonts w:asciiTheme="minorHAnsi" w:hAnsiTheme="minorHAnsi"/>
          <w:b/>
          <w:sz w:val="28"/>
          <w:szCs w:val="28"/>
        </w:rPr>
        <w:t xml:space="preserve"> </w:t>
      </w:r>
      <w:r w:rsidR="00F0420A" w:rsidRPr="004B1BF2">
        <w:rPr>
          <w:rFonts w:asciiTheme="minorHAnsi" w:hAnsiTheme="minorHAnsi"/>
          <w:b/>
          <w:sz w:val="28"/>
          <w:szCs w:val="28"/>
        </w:rPr>
        <w:t xml:space="preserve">Facilitating </w:t>
      </w:r>
      <w:r w:rsidR="008720D8" w:rsidRPr="004B1BF2">
        <w:rPr>
          <w:rFonts w:asciiTheme="minorHAnsi" w:hAnsiTheme="minorHAnsi"/>
          <w:b/>
          <w:sz w:val="28"/>
          <w:szCs w:val="28"/>
        </w:rPr>
        <w:t>Prisoners’ Access</w:t>
      </w:r>
      <w:r w:rsidR="00D3627D" w:rsidRPr="004B1BF2">
        <w:rPr>
          <w:rFonts w:asciiTheme="minorHAnsi" w:hAnsiTheme="minorHAnsi"/>
          <w:b/>
          <w:sz w:val="28"/>
          <w:szCs w:val="28"/>
        </w:rPr>
        <w:t xml:space="preserve"> to C</w:t>
      </w:r>
      <w:r w:rsidR="00F0420A" w:rsidRPr="004B1BF2">
        <w:rPr>
          <w:rFonts w:asciiTheme="minorHAnsi" w:hAnsiTheme="minorHAnsi"/>
          <w:b/>
          <w:sz w:val="28"/>
          <w:szCs w:val="28"/>
        </w:rPr>
        <w:t xml:space="preserve">ounsel </w:t>
      </w:r>
      <w:r w:rsidR="003F677F">
        <w:rPr>
          <w:rFonts w:asciiTheme="minorHAnsi" w:hAnsiTheme="minorHAnsi"/>
          <w:b/>
          <w:sz w:val="28"/>
          <w:szCs w:val="28"/>
        </w:rPr>
        <w:t>and Courts</w:t>
      </w:r>
    </w:p>
    <w:p w:rsidR="00F23B3F" w:rsidRPr="00F23B3F" w:rsidRDefault="00F23B3F" w:rsidP="00FF0A59">
      <w:pPr>
        <w:spacing w:after="0" w:line="240" w:lineRule="auto"/>
        <w:contextualSpacing/>
        <w:jc w:val="both"/>
        <w:rPr>
          <w:rFonts w:asciiTheme="minorHAnsi" w:hAnsiTheme="minorHAnsi"/>
          <w:sz w:val="24"/>
          <w:szCs w:val="24"/>
        </w:rPr>
      </w:pPr>
      <w:r>
        <w:rPr>
          <w:rFonts w:asciiTheme="minorHAnsi" w:hAnsiTheme="minorHAnsi"/>
          <w:b/>
          <w:sz w:val="28"/>
          <w:szCs w:val="28"/>
        </w:rPr>
        <w:tab/>
      </w:r>
      <w:r w:rsidR="002D389A">
        <w:rPr>
          <w:rFonts w:asciiTheme="minorHAnsi" w:hAnsiTheme="minorHAnsi"/>
          <w:sz w:val="24"/>
          <w:szCs w:val="24"/>
        </w:rPr>
        <w:t xml:space="preserve">Prisoners </w:t>
      </w:r>
      <w:r w:rsidR="0088228C">
        <w:rPr>
          <w:rFonts w:asciiTheme="minorHAnsi" w:hAnsiTheme="minorHAnsi"/>
          <w:sz w:val="24"/>
          <w:szCs w:val="24"/>
        </w:rPr>
        <w:t>face additional barriers to accessing both courts and counsel.  Does the state have the</w:t>
      </w:r>
      <w:r w:rsidR="002B4CD7">
        <w:rPr>
          <w:rFonts w:asciiTheme="minorHAnsi" w:hAnsiTheme="minorHAnsi"/>
          <w:sz w:val="24"/>
          <w:szCs w:val="24"/>
        </w:rPr>
        <w:t xml:space="preserve"> constitutional</w:t>
      </w:r>
      <w:r w:rsidR="0088228C">
        <w:rPr>
          <w:rFonts w:asciiTheme="minorHAnsi" w:hAnsiTheme="minorHAnsi"/>
          <w:sz w:val="24"/>
          <w:szCs w:val="24"/>
        </w:rPr>
        <w:t xml:space="preserve"> obligation </w:t>
      </w:r>
      <w:r w:rsidR="002B4CD7">
        <w:rPr>
          <w:rFonts w:asciiTheme="minorHAnsi" w:hAnsiTheme="minorHAnsi"/>
          <w:sz w:val="24"/>
          <w:szCs w:val="24"/>
        </w:rPr>
        <w:t xml:space="preserve">to </w:t>
      </w:r>
      <w:r w:rsidR="002D389A">
        <w:rPr>
          <w:rFonts w:asciiTheme="minorHAnsi" w:hAnsiTheme="minorHAnsi"/>
          <w:sz w:val="24"/>
          <w:szCs w:val="24"/>
        </w:rPr>
        <w:t xml:space="preserve">help detainees to use courts?  What kinds of assistance is required? </w:t>
      </w:r>
      <w:r w:rsidR="00676225">
        <w:rPr>
          <w:rFonts w:asciiTheme="minorHAnsi" w:hAnsiTheme="minorHAnsi"/>
          <w:sz w:val="24"/>
          <w:szCs w:val="24"/>
        </w:rPr>
        <w:t xml:space="preserve"> </w:t>
      </w:r>
      <w:r w:rsidR="002D389A" w:rsidRPr="00F23B3F">
        <w:rPr>
          <w:rFonts w:asciiTheme="minorHAnsi" w:hAnsiTheme="minorHAnsi"/>
          <w:sz w:val="24"/>
          <w:szCs w:val="24"/>
        </w:rPr>
        <w:t xml:space="preserve">For what kinds of claims? </w:t>
      </w:r>
      <w:r w:rsidR="002D389A">
        <w:rPr>
          <w:rFonts w:asciiTheme="minorHAnsi" w:hAnsiTheme="minorHAnsi"/>
          <w:sz w:val="24"/>
          <w:szCs w:val="24"/>
        </w:rPr>
        <w:t xml:space="preserve">On what constitutional or other legal grounds?  What about the problems for others with distinctive challenges, such as </w:t>
      </w:r>
      <w:r w:rsidR="002B4CD7">
        <w:rPr>
          <w:rFonts w:asciiTheme="minorHAnsi" w:hAnsiTheme="minorHAnsi"/>
          <w:sz w:val="24"/>
          <w:szCs w:val="24"/>
        </w:rPr>
        <w:t>language</w:t>
      </w:r>
      <w:r w:rsidR="002D389A">
        <w:rPr>
          <w:rFonts w:asciiTheme="minorHAnsi" w:hAnsiTheme="minorHAnsi"/>
          <w:sz w:val="24"/>
          <w:szCs w:val="24"/>
        </w:rPr>
        <w:t xml:space="preserve">s and </w:t>
      </w:r>
      <w:r w:rsidR="002B4CD7">
        <w:rPr>
          <w:rFonts w:asciiTheme="minorHAnsi" w:hAnsiTheme="minorHAnsi"/>
          <w:sz w:val="24"/>
          <w:szCs w:val="24"/>
        </w:rPr>
        <w:t>mental or physical</w:t>
      </w:r>
      <w:r w:rsidR="0088228C">
        <w:rPr>
          <w:rFonts w:asciiTheme="minorHAnsi" w:hAnsiTheme="minorHAnsi"/>
          <w:sz w:val="24"/>
          <w:szCs w:val="24"/>
        </w:rPr>
        <w:t xml:space="preserve"> </w:t>
      </w:r>
      <w:r w:rsidR="002B4CD7">
        <w:rPr>
          <w:rFonts w:asciiTheme="minorHAnsi" w:hAnsiTheme="minorHAnsi"/>
          <w:sz w:val="24"/>
          <w:szCs w:val="24"/>
        </w:rPr>
        <w:t>abilit</w:t>
      </w:r>
      <w:r w:rsidR="002D389A">
        <w:rPr>
          <w:rFonts w:asciiTheme="minorHAnsi" w:hAnsiTheme="minorHAnsi"/>
          <w:sz w:val="24"/>
          <w:szCs w:val="24"/>
        </w:rPr>
        <w:t>ies?</w:t>
      </w:r>
    </w:p>
    <w:p w:rsidR="00D3627D" w:rsidRPr="004B1BF2" w:rsidRDefault="00D3627D" w:rsidP="00D3627D">
      <w:pPr>
        <w:spacing w:after="0" w:line="240" w:lineRule="auto"/>
        <w:contextualSpacing/>
        <w:jc w:val="both"/>
        <w:rPr>
          <w:rFonts w:asciiTheme="minorHAnsi" w:hAnsiTheme="minorHAnsi"/>
          <w:sz w:val="24"/>
          <w:szCs w:val="24"/>
        </w:rPr>
      </w:pPr>
    </w:p>
    <w:p w:rsidR="00664D97" w:rsidRDefault="008720D8" w:rsidP="00D3627D">
      <w:pPr>
        <w:spacing w:after="0" w:line="240" w:lineRule="auto"/>
        <w:ind w:firstLine="720"/>
        <w:contextualSpacing/>
        <w:jc w:val="both"/>
        <w:rPr>
          <w:rFonts w:asciiTheme="minorHAnsi" w:hAnsiTheme="minorHAnsi"/>
          <w:sz w:val="24"/>
          <w:szCs w:val="24"/>
        </w:rPr>
      </w:pPr>
      <w:r w:rsidRPr="00157CAB">
        <w:rPr>
          <w:rFonts w:asciiTheme="minorHAnsi" w:hAnsiTheme="minorHAnsi"/>
          <w:i/>
          <w:sz w:val="24"/>
          <w:szCs w:val="24"/>
        </w:rPr>
        <w:t>Ex Parte Hull</w:t>
      </w:r>
      <w:r w:rsidR="00157CAB">
        <w:rPr>
          <w:rFonts w:asciiTheme="minorHAnsi" w:hAnsiTheme="minorHAnsi"/>
          <w:sz w:val="24"/>
          <w:szCs w:val="24"/>
        </w:rPr>
        <w:t>, 312 U.S. 546 (1941)</w:t>
      </w:r>
    </w:p>
    <w:p w:rsidR="004B1BF2" w:rsidRPr="004B1BF2" w:rsidRDefault="004B1BF2" w:rsidP="00676225">
      <w:pPr>
        <w:spacing w:after="0" w:line="240" w:lineRule="auto"/>
        <w:contextualSpacing/>
        <w:jc w:val="both"/>
        <w:rPr>
          <w:rFonts w:asciiTheme="minorHAnsi" w:hAnsiTheme="minorHAnsi"/>
          <w:sz w:val="24"/>
          <w:szCs w:val="24"/>
        </w:rPr>
      </w:pPr>
    </w:p>
    <w:p w:rsidR="008720D8" w:rsidRDefault="008720D8" w:rsidP="00D3627D">
      <w:pPr>
        <w:pStyle w:val="NormalWeb"/>
        <w:spacing w:before="0" w:beforeAutospacing="0" w:after="0" w:afterAutospacing="0"/>
        <w:ind w:firstLine="720"/>
        <w:rPr>
          <w:rFonts w:asciiTheme="minorHAnsi" w:hAnsiTheme="minorHAnsi"/>
          <w:color w:val="FF0000"/>
        </w:rPr>
      </w:pPr>
      <w:r w:rsidRPr="00157CAB">
        <w:rPr>
          <w:rFonts w:asciiTheme="minorHAnsi" w:hAnsiTheme="minorHAnsi"/>
          <w:i/>
        </w:rPr>
        <w:t>Bounds v. Smith</w:t>
      </w:r>
      <w:r w:rsidR="00157CAB">
        <w:rPr>
          <w:rFonts w:asciiTheme="minorHAnsi" w:hAnsiTheme="minorHAnsi"/>
        </w:rPr>
        <w:t xml:space="preserve">, </w:t>
      </w:r>
      <w:hyperlink r:id="rId14" w:history="1">
        <w:r w:rsidR="00664D97" w:rsidRPr="00157CAB">
          <w:rPr>
            <w:rFonts w:asciiTheme="minorHAnsi" w:hAnsiTheme="minorHAnsi"/>
          </w:rPr>
          <w:t>430 U.S. 817</w:t>
        </w:r>
      </w:hyperlink>
      <w:r w:rsidR="00664D97" w:rsidRPr="00157CAB">
        <w:rPr>
          <w:rFonts w:asciiTheme="minorHAnsi" w:hAnsiTheme="minorHAnsi"/>
        </w:rPr>
        <w:t xml:space="preserve"> (1977)</w:t>
      </w:r>
    </w:p>
    <w:p w:rsidR="004B1BF2" w:rsidRPr="004B1BF2" w:rsidRDefault="004B1BF2" w:rsidP="00676225">
      <w:pPr>
        <w:pStyle w:val="NormalWeb"/>
        <w:spacing w:before="0" w:beforeAutospacing="0" w:after="0" w:afterAutospacing="0"/>
        <w:rPr>
          <w:rFonts w:asciiTheme="minorHAnsi" w:hAnsiTheme="minorHAnsi"/>
          <w:color w:val="FF0000"/>
        </w:rPr>
      </w:pPr>
    </w:p>
    <w:p w:rsidR="008720D8" w:rsidRDefault="008720D8" w:rsidP="00FF0A59">
      <w:pPr>
        <w:spacing w:after="0" w:line="240" w:lineRule="auto"/>
        <w:contextualSpacing/>
        <w:jc w:val="both"/>
        <w:rPr>
          <w:rFonts w:asciiTheme="minorHAnsi" w:hAnsiTheme="minorHAnsi"/>
          <w:sz w:val="24"/>
          <w:szCs w:val="24"/>
        </w:rPr>
      </w:pPr>
      <w:r w:rsidRPr="004B1BF2">
        <w:rPr>
          <w:rFonts w:asciiTheme="minorHAnsi" w:hAnsiTheme="minorHAnsi"/>
          <w:sz w:val="24"/>
          <w:szCs w:val="24"/>
        </w:rPr>
        <w:tab/>
      </w:r>
      <w:r w:rsidRPr="00157CAB">
        <w:rPr>
          <w:rFonts w:asciiTheme="minorHAnsi" w:hAnsiTheme="minorHAnsi"/>
          <w:i/>
          <w:sz w:val="24"/>
          <w:szCs w:val="24"/>
        </w:rPr>
        <w:t>Lewis v. Casey</w:t>
      </w:r>
      <w:r w:rsidR="00676225">
        <w:rPr>
          <w:rFonts w:asciiTheme="minorHAnsi" w:hAnsiTheme="minorHAnsi"/>
          <w:sz w:val="24"/>
          <w:szCs w:val="24"/>
        </w:rPr>
        <w:t>, 518 U.S. 343 (1996)</w:t>
      </w:r>
    </w:p>
    <w:p w:rsidR="00F847CD" w:rsidRDefault="00D3627D" w:rsidP="00FF0A59">
      <w:pPr>
        <w:spacing w:after="0" w:line="240" w:lineRule="auto"/>
        <w:contextualSpacing/>
        <w:jc w:val="both"/>
        <w:rPr>
          <w:rFonts w:asciiTheme="minorHAnsi" w:hAnsiTheme="minorHAnsi"/>
          <w:i/>
          <w:sz w:val="24"/>
          <w:szCs w:val="24"/>
        </w:rPr>
      </w:pPr>
      <w:r w:rsidRPr="004B1BF2">
        <w:rPr>
          <w:rFonts w:asciiTheme="minorHAnsi" w:hAnsiTheme="minorHAnsi"/>
          <w:sz w:val="24"/>
          <w:szCs w:val="24"/>
        </w:rPr>
        <w:tab/>
      </w:r>
      <w:r w:rsidR="00F847CD">
        <w:rPr>
          <w:rFonts w:asciiTheme="minorHAnsi" w:hAnsiTheme="minorHAnsi"/>
          <w:sz w:val="24"/>
          <w:szCs w:val="24"/>
        </w:rPr>
        <w:t xml:space="preserve">Hope Metcalf &amp; Judith Resnik, </w:t>
      </w:r>
      <w:r w:rsidR="00F847CD" w:rsidRPr="00F847CD">
        <w:rPr>
          <w:rFonts w:asciiTheme="minorHAnsi" w:hAnsiTheme="minorHAnsi"/>
          <w:i/>
          <w:sz w:val="24"/>
          <w:szCs w:val="24"/>
        </w:rPr>
        <w:t>Gideon at Guant</w:t>
      </w:r>
      <w:r w:rsidR="00F23B3F">
        <w:rPr>
          <w:rFonts w:asciiTheme="minorHAnsi" w:hAnsiTheme="minorHAnsi"/>
          <w:i/>
          <w:sz w:val="24"/>
          <w:szCs w:val="24"/>
        </w:rPr>
        <w:t>á</w:t>
      </w:r>
      <w:r w:rsidR="00B27BBE">
        <w:rPr>
          <w:rFonts w:asciiTheme="minorHAnsi" w:hAnsiTheme="minorHAnsi"/>
          <w:i/>
          <w:sz w:val="24"/>
          <w:szCs w:val="24"/>
        </w:rPr>
        <w:t>namo: Democratic and Despotic</w:t>
      </w:r>
    </w:p>
    <w:p w:rsidR="008720D8" w:rsidRPr="004B1BF2" w:rsidRDefault="00F847CD" w:rsidP="00F847CD">
      <w:pPr>
        <w:spacing w:after="0" w:line="240" w:lineRule="auto"/>
        <w:ind w:firstLine="720"/>
        <w:contextualSpacing/>
        <w:jc w:val="both"/>
        <w:rPr>
          <w:rFonts w:asciiTheme="minorHAnsi" w:hAnsiTheme="minorHAnsi"/>
          <w:sz w:val="24"/>
          <w:szCs w:val="24"/>
        </w:rPr>
      </w:pPr>
      <w:r>
        <w:rPr>
          <w:rFonts w:asciiTheme="minorHAnsi" w:hAnsiTheme="minorHAnsi"/>
          <w:i/>
          <w:sz w:val="24"/>
          <w:szCs w:val="24"/>
        </w:rPr>
        <w:t xml:space="preserve">      </w:t>
      </w:r>
      <w:r w:rsidRPr="00F847CD">
        <w:rPr>
          <w:rFonts w:asciiTheme="minorHAnsi" w:hAnsiTheme="minorHAnsi"/>
          <w:i/>
          <w:sz w:val="24"/>
          <w:szCs w:val="24"/>
        </w:rPr>
        <w:t>Detention</w:t>
      </w:r>
      <w:r>
        <w:rPr>
          <w:rFonts w:asciiTheme="minorHAnsi" w:hAnsiTheme="minorHAnsi"/>
          <w:sz w:val="24"/>
          <w:szCs w:val="24"/>
        </w:rPr>
        <w:t>, 122 Yale L.J. 2504 (2013)</w:t>
      </w:r>
    </w:p>
    <w:p w:rsidR="008720D8" w:rsidRPr="004B1BF2" w:rsidRDefault="008720D8" w:rsidP="00FF0A59">
      <w:pPr>
        <w:spacing w:after="0" w:line="240" w:lineRule="auto"/>
        <w:contextualSpacing/>
        <w:jc w:val="both"/>
        <w:rPr>
          <w:sz w:val="24"/>
          <w:szCs w:val="24"/>
        </w:rPr>
      </w:pPr>
    </w:p>
    <w:p w:rsidR="00F847CD" w:rsidRDefault="00D3627D" w:rsidP="00FF0A59">
      <w:pPr>
        <w:spacing w:after="0" w:line="240" w:lineRule="auto"/>
        <w:contextualSpacing/>
        <w:jc w:val="both"/>
        <w:rPr>
          <w:sz w:val="24"/>
          <w:szCs w:val="24"/>
        </w:rPr>
      </w:pPr>
      <w:r w:rsidRPr="004B1BF2">
        <w:rPr>
          <w:sz w:val="24"/>
          <w:szCs w:val="24"/>
        </w:rPr>
        <w:tab/>
      </w:r>
      <w:r w:rsidR="00F847CD">
        <w:rPr>
          <w:sz w:val="24"/>
          <w:szCs w:val="24"/>
        </w:rPr>
        <w:t xml:space="preserve">Motion for Preliminary Injunction, </w:t>
      </w:r>
      <w:r w:rsidR="00F847CD" w:rsidRPr="00F847CD">
        <w:rPr>
          <w:i/>
          <w:sz w:val="24"/>
          <w:szCs w:val="24"/>
        </w:rPr>
        <w:t>Orleans Public Defenders v. Marlin Gusman</w:t>
      </w:r>
      <w:r w:rsidR="00B27BBE">
        <w:rPr>
          <w:sz w:val="24"/>
          <w:szCs w:val="24"/>
        </w:rPr>
        <w:t>, No.</w:t>
      </w:r>
    </w:p>
    <w:p w:rsidR="008720D8" w:rsidRPr="004B1BF2" w:rsidRDefault="00F847CD" w:rsidP="00FF0A59">
      <w:pPr>
        <w:spacing w:after="0" w:line="240" w:lineRule="auto"/>
        <w:contextualSpacing/>
        <w:jc w:val="both"/>
        <w:rPr>
          <w:sz w:val="24"/>
          <w:szCs w:val="24"/>
        </w:rPr>
      </w:pPr>
      <w:r>
        <w:rPr>
          <w:sz w:val="24"/>
          <w:szCs w:val="24"/>
        </w:rPr>
        <w:t xml:space="preserve">        </w:t>
      </w:r>
      <w:r>
        <w:rPr>
          <w:sz w:val="24"/>
          <w:szCs w:val="24"/>
        </w:rPr>
        <w:tab/>
        <w:t xml:space="preserve">     </w:t>
      </w:r>
      <w:r w:rsidR="00BF31B4">
        <w:rPr>
          <w:sz w:val="24"/>
          <w:szCs w:val="24"/>
        </w:rPr>
        <w:tab/>
      </w:r>
      <w:r>
        <w:rPr>
          <w:sz w:val="24"/>
          <w:szCs w:val="24"/>
        </w:rPr>
        <w:t>2011-10638 (March 2012)</w:t>
      </w:r>
    </w:p>
    <w:p w:rsidR="00232892" w:rsidRPr="003A40F5" w:rsidRDefault="00232892" w:rsidP="00BD7902">
      <w:pPr>
        <w:spacing w:after="0" w:line="240" w:lineRule="auto"/>
        <w:contextualSpacing/>
        <w:jc w:val="both"/>
        <w:rPr>
          <w:sz w:val="24"/>
          <w:szCs w:val="24"/>
        </w:rPr>
      </w:pPr>
    </w:p>
    <w:p w:rsidR="00664D97" w:rsidRPr="003A40F5" w:rsidRDefault="00664D97" w:rsidP="00664D97">
      <w:pPr>
        <w:spacing w:after="0" w:line="240" w:lineRule="auto"/>
        <w:ind w:firstLine="720"/>
        <w:rPr>
          <w:sz w:val="24"/>
          <w:szCs w:val="24"/>
        </w:rPr>
      </w:pPr>
      <w:r w:rsidRPr="00BD7902">
        <w:rPr>
          <w:i/>
          <w:sz w:val="24"/>
          <w:szCs w:val="24"/>
        </w:rPr>
        <w:t>Nordstrom v. Ryan</w:t>
      </w:r>
      <w:r w:rsidR="00B27BBE">
        <w:rPr>
          <w:sz w:val="24"/>
          <w:szCs w:val="24"/>
        </w:rPr>
        <w:t>, 762 F.3d 903 (9th Cir. 2014)</w:t>
      </w:r>
    </w:p>
    <w:p w:rsidR="00664D97" w:rsidRPr="004B1BF2" w:rsidRDefault="00664D97" w:rsidP="00FF0A59">
      <w:pPr>
        <w:spacing w:after="0" w:line="240" w:lineRule="auto"/>
        <w:contextualSpacing/>
        <w:jc w:val="both"/>
        <w:rPr>
          <w:sz w:val="24"/>
          <w:szCs w:val="24"/>
        </w:rPr>
      </w:pPr>
    </w:p>
    <w:p w:rsidR="00F847CD" w:rsidRDefault="00BD7902" w:rsidP="00BD7902">
      <w:pPr>
        <w:spacing w:after="0" w:line="240" w:lineRule="auto"/>
        <w:ind w:left="720"/>
        <w:rPr>
          <w:sz w:val="24"/>
          <w:szCs w:val="24"/>
        </w:rPr>
      </w:pPr>
      <w:r w:rsidRPr="003A40F5">
        <w:rPr>
          <w:sz w:val="24"/>
          <w:szCs w:val="24"/>
        </w:rPr>
        <w:t xml:space="preserve">Stephanie Clifford, </w:t>
      </w:r>
      <w:r w:rsidRPr="003A40F5">
        <w:rPr>
          <w:i/>
          <w:iCs/>
          <w:sz w:val="24"/>
          <w:szCs w:val="24"/>
        </w:rPr>
        <w:t>Prosecutors are Reading Emails from Inmates to Lawyers</w:t>
      </w:r>
      <w:r w:rsidR="00B27BBE">
        <w:rPr>
          <w:sz w:val="24"/>
          <w:szCs w:val="24"/>
        </w:rPr>
        <w:t>, N.Y. Times,</w:t>
      </w:r>
    </w:p>
    <w:p w:rsidR="00BD7902" w:rsidRDefault="00BD7902" w:rsidP="00BF31B4">
      <w:pPr>
        <w:spacing w:after="0" w:line="240" w:lineRule="auto"/>
        <w:ind w:left="720" w:firstLine="720"/>
        <w:rPr>
          <w:sz w:val="24"/>
          <w:szCs w:val="24"/>
        </w:rPr>
      </w:pPr>
      <w:r w:rsidRPr="003A40F5">
        <w:rPr>
          <w:sz w:val="24"/>
          <w:szCs w:val="24"/>
        </w:rPr>
        <w:t xml:space="preserve">July 22, 2014 </w:t>
      </w:r>
    </w:p>
    <w:p w:rsidR="00BD7902" w:rsidRDefault="00BD7902" w:rsidP="00FF0A59">
      <w:pPr>
        <w:spacing w:after="0" w:line="240" w:lineRule="auto"/>
        <w:contextualSpacing/>
        <w:jc w:val="both"/>
        <w:rPr>
          <w:sz w:val="24"/>
          <w:szCs w:val="24"/>
        </w:rPr>
      </w:pPr>
    </w:p>
    <w:p w:rsidR="00F23B3F" w:rsidRPr="004B1BF2" w:rsidRDefault="00F23B3F" w:rsidP="00FF0A59">
      <w:pPr>
        <w:spacing w:after="0" w:line="240" w:lineRule="auto"/>
        <w:contextualSpacing/>
        <w:jc w:val="both"/>
        <w:rPr>
          <w:sz w:val="24"/>
          <w:szCs w:val="24"/>
        </w:rPr>
      </w:pPr>
    </w:p>
    <w:p w:rsidR="00F0420A" w:rsidRPr="004D3A15" w:rsidRDefault="00F23B3F" w:rsidP="00FF0A59">
      <w:pPr>
        <w:spacing w:after="0" w:line="240" w:lineRule="auto"/>
        <w:contextualSpacing/>
        <w:jc w:val="both"/>
        <w:rPr>
          <w:b/>
          <w:sz w:val="24"/>
          <w:szCs w:val="24"/>
        </w:rPr>
      </w:pPr>
      <w:r w:rsidRPr="004D3A15">
        <w:rPr>
          <w:b/>
          <w:sz w:val="24"/>
          <w:szCs w:val="24"/>
        </w:rPr>
        <w:t>[</w:t>
      </w:r>
      <w:r w:rsidR="00B27BBE">
        <w:rPr>
          <w:b/>
          <w:sz w:val="24"/>
          <w:szCs w:val="24"/>
        </w:rPr>
        <w:t>March 16:</w:t>
      </w:r>
      <w:r w:rsidR="00676225">
        <w:rPr>
          <w:b/>
          <w:sz w:val="24"/>
          <w:szCs w:val="24"/>
        </w:rPr>
        <w:t xml:space="preserve"> </w:t>
      </w:r>
      <w:r w:rsidR="00B27BBE">
        <w:rPr>
          <w:b/>
          <w:sz w:val="24"/>
          <w:szCs w:val="24"/>
        </w:rPr>
        <w:t xml:space="preserve"> </w:t>
      </w:r>
      <w:r w:rsidR="004B1BF2" w:rsidRPr="004D3A15">
        <w:rPr>
          <w:b/>
          <w:sz w:val="24"/>
          <w:szCs w:val="24"/>
        </w:rPr>
        <w:t>No Class -</w:t>
      </w:r>
      <w:r w:rsidR="004B6640" w:rsidRPr="004D3A15">
        <w:rPr>
          <w:b/>
          <w:sz w:val="24"/>
          <w:szCs w:val="24"/>
        </w:rPr>
        <w:t xml:space="preserve"> </w:t>
      </w:r>
      <w:r w:rsidR="004B1BF2" w:rsidRPr="004D3A15">
        <w:rPr>
          <w:b/>
          <w:sz w:val="24"/>
          <w:szCs w:val="24"/>
        </w:rPr>
        <w:t>Spring Break</w:t>
      </w:r>
      <w:r w:rsidRPr="004D3A15">
        <w:rPr>
          <w:b/>
          <w:sz w:val="24"/>
          <w:szCs w:val="24"/>
        </w:rPr>
        <w:t>]</w:t>
      </w:r>
    </w:p>
    <w:p w:rsidR="00F0420A" w:rsidRPr="00676225" w:rsidRDefault="00F0420A" w:rsidP="00FF0A59">
      <w:pPr>
        <w:spacing w:after="0" w:line="240" w:lineRule="auto"/>
        <w:contextualSpacing/>
        <w:jc w:val="both"/>
        <w:rPr>
          <w:sz w:val="24"/>
          <w:szCs w:val="24"/>
        </w:rPr>
      </w:pPr>
    </w:p>
    <w:p w:rsidR="00F23B3F" w:rsidRPr="00676225" w:rsidRDefault="00F23B3F" w:rsidP="00FF0A59">
      <w:pPr>
        <w:spacing w:after="0" w:line="240" w:lineRule="auto"/>
        <w:contextualSpacing/>
        <w:jc w:val="both"/>
        <w:rPr>
          <w:sz w:val="24"/>
          <w:szCs w:val="24"/>
        </w:rPr>
      </w:pPr>
    </w:p>
    <w:p w:rsidR="006920CF" w:rsidRPr="004B1BF2" w:rsidRDefault="00F0420A" w:rsidP="00F0420A">
      <w:pPr>
        <w:spacing w:after="0" w:line="240" w:lineRule="auto"/>
        <w:contextualSpacing/>
        <w:jc w:val="both"/>
        <w:rPr>
          <w:b/>
          <w:bCs/>
          <w:sz w:val="28"/>
          <w:szCs w:val="28"/>
        </w:rPr>
      </w:pPr>
      <w:r w:rsidRPr="004B1BF2">
        <w:rPr>
          <w:b/>
          <w:sz w:val="28"/>
          <w:szCs w:val="28"/>
        </w:rPr>
        <w:t xml:space="preserve">March 23 </w:t>
      </w:r>
      <w:r w:rsidR="004B1BF2">
        <w:rPr>
          <w:b/>
          <w:sz w:val="28"/>
          <w:szCs w:val="28"/>
        </w:rPr>
        <w:t>(C</w:t>
      </w:r>
      <w:r w:rsidRPr="004B1BF2">
        <w:rPr>
          <w:b/>
          <w:sz w:val="28"/>
          <w:szCs w:val="28"/>
        </w:rPr>
        <w:t>lass 8</w:t>
      </w:r>
      <w:r w:rsidR="004B1BF2">
        <w:rPr>
          <w:b/>
          <w:sz w:val="28"/>
          <w:szCs w:val="28"/>
        </w:rPr>
        <w:t>):</w:t>
      </w:r>
      <w:r w:rsidRPr="004B1BF2">
        <w:rPr>
          <w:b/>
          <w:sz w:val="28"/>
          <w:szCs w:val="28"/>
        </w:rPr>
        <w:t xml:space="preserve"> </w:t>
      </w:r>
      <w:r w:rsidR="00676225">
        <w:rPr>
          <w:b/>
          <w:sz w:val="28"/>
          <w:szCs w:val="28"/>
        </w:rPr>
        <w:t xml:space="preserve"> </w:t>
      </w:r>
      <w:r w:rsidR="006920CF" w:rsidRPr="004B1BF2">
        <w:rPr>
          <w:b/>
          <w:bCs/>
          <w:sz w:val="28"/>
          <w:szCs w:val="28"/>
        </w:rPr>
        <w:t xml:space="preserve">Revenue Sources for Courts: </w:t>
      </w:r>
      <w:r w:rsidR="00A20357" w:rsidRPr="004B1BF2">
        <w:rPr>
          <w:b/>
          <w:bCs/>
          <w:sz w:val="28"/>
          <w:szCs w:val="28"/>
        </w:rPr>
        <w:t>Taxpayers and Users</w:t>
      </w:r>
    </w:p>
    <w:p w:rsidR="007027B6" w:rsidRDefault="006920CF" w:rsidP="007027B6">
      <w:pPr>
        <w:tabs>
          <w:tab w:val="left" w:pos="720"/>
          <w:tab w:val="left" w:pos="1440"/>
        </w:tabs>
        <w:spacing w:after="0" w:line="240" w:lineRule="auto"/>
        <w:contextualSpacing/>
        <w:jc w:val="both"/>
        <w:rPr>
          <w:bCs/>
          <w:sz w:val="24"/>
          <w:szCs w:val="24"/>
        </w:rPr>
      </w:pPr>
      <w:r w:rsidRPr="004B1BF2">
        <w:rPr>
          <w:bCs/>
          <w:sz w:val="24"/>
          <w:szCs w:val="24"/>
        </w:rPr>
        <w:tab/>
      </w:r>
      <w:r w:rsidR="004B6640" w:rsidRPr="004B1BF2">
        <w:rPr>
          <w:bCs/>
          <w:sz w:val="24"/>
          <w:szCs w:val="24"/>
        </w:rPr>
        <w:t>Governments</w:t>
      </w:r>
      <w:r w:rsidR="004B6640">
        <w:rPr>
          <w:bCs/>
          <w:sz w:val="24"/>
          <w:szCs w:val="24"/>
        </w:rPr>
        <w:t xml:space="preserve"> </w:t>
      </w:r>
      <w:r w:rsidR="002912FA">
        <w:rPr>
          <w:bCs/>
          <w:sz w:val="24"/>
          <w:szCs w:val="24"/>
        </w:rPr>
        <w:t xml:space="preserve">have been a major source of courts’ funding. </w:t>
      </w:r>
      <w:r w:rsidR="004B6640">
        <w:rPr>
          <w:bCs/>
          <w:sz w:val="24"/>
          <w:szCs w:val="24"/>
        </w:rPr>
        <w:t xml:space="preserve">As demands have risen and </w:t>
      </w:r>
      <w:r w:rsidR="004B1BF2">
        <w:rPr>
          <w:bCs/>
          <w:sz w:val="24"/>
          <w:szCs w:val="24"/>
        </w:rPr>
        <w:t>as</w:t>
      </w:r>
      <w:r w:rsidRPr="003A40F5">
        <w:rPr>
          <w:bCs/>
          <w:sz w:val="24"/>
          <w:szCs w:val="24"/>
        </w:rPr>
        <w:t xml:space="preserve"> courts face budget shortfalls, many courts have </w:t>
      </w:r>
      <w:r w:rsidR="002912FA">
        <w:rPr>
          <w:bCs/>
          <w:sz w:val="24"/>
          <w:szCs w:val="24"/>
        </w:rPr>
        <w:t xml:space="preserve">raised </w:t>
      </w:r>
      <w:r w:rsidRPr="003A40F5">
        <w:rPr>
          <w:bCs/>
          <w:sz w:val="24"/>
          <w:szCs w:val="24"/>
        </w:rPr>
        <w:t>us</w:t>
      </w:r>
      <w:r w:rsidR="002912FA">
        <w:rPr>
          <w:bCs/>
          <w:sz w:val="24"/>
          <w:szCs w:val="24"/>
        </w:rPr>
        <w:t>er</w:t>
      </w:r>
      <w:r w:rsidRPr="003A40F5">
        <w:rPr>
          <w:bCs/>
          <w:sz w:val="24"/>
          <w:szCs w:val="24"/>
        </w:rPr>
        <w:t xml:space="preserve"> fees for civil litigants</w:t>
      </w:r>
      <w:r w:rsidR="002912FA">
        <w:rPr>
          <w:bCs/>
          <w:sz w:val="24"/>
          <w:szCs w:val="24"/>
        </w:rPr>
        <w:t xml:space="preserve"> and increased civil and criminal fines</w:t>
      </w:r>
      <w:r w:rsidRPr="003A40F5">
        <w:rPr>
          <w:bCs/>
          <w:sz w:val="24"/>
          <w:szCs w:val="24"/>
        </w:rPr>
        <w:t xml:space="preserve">. </w:t>
      </w:r>
      <w:r w:rsidR="002912FA">
        <w:rPr>
          <w:bCs/>
          <w:sz w:val="24"/>
          <w:szCs w:val="24"/>
        </w:rPr>
        <w:t xml:space="preserve">  As illustrated by </w:t>
      </w:r>
      <w:r w:rsidR="002912FA" w:rsidRPr="004B6640">
        <w:rPr>
          <w:bCs/>
          <w:i/>
          <w:sz w:val="24"/>
          <w:szCs w:val="24"/>
        </w:rPr>
        <w:t>Turner v. Rogers</w:t>
      </w:r>
      <w:r w:rsidR="002912FA">
        <w:rPr>
          <w:bCs/>
          <w:sz w:val="24"/>
          <w:szCs w:val="24"/>
        </w:rPr>
        <w:t>, f</w:t>
      </w:r>
      <w:r w:rsidR="002912FA" w:rsidRPr="003A40F5">
        <w:rPr>
          <w:bCs/>
          <w:sz w:val="24"/>
          <w:szCs w:val="24"/>
        </w:rPr>
        <w:t>ailures to pay can result in various sanctions</w:t>
      </w:r>
      <w:r w:rsidR="002912FA">
        <w:rPr>
          <w:bCs/>
          <w:sz w:val="24"/>
          <w:szCs w:val="24"/>
        </w:rPr>
        <w:t xml:space="preserve">, including </w:t>
      </w:r>
      <w:r w:rsidR="002912FA" w:rsidRPr="003A40F5">
        <w:rPr>
          <w:bCs/>
          <w:sz w:val="24"/>
          <w:szCs w:val="24"/>
        </w:rPr>
        <w:t>detention</w:t>
      </w:r>
      <w:r w:rsidR="002912FA">
        <w:rPr>
          <w:bCs/>
          <w:sz w:val="24"/>
          <w:szCs w:val="24"/>
        </w:rPr>
        <w:t xml:space="preserve"> for contempt.  Thus,</w:t>
      </w:r>
      <w:r w:rsidR="004B6640">
        <w:rPr>
          <w:bCs/>
          <w:sz w:val="24"/>
          <w:szCs w:val="24"/>
        </w:rPr>
        <w:t xml:space="preserve"> decisions by the U.S. Supreme Court in the </w:t>
      </w:r>
      <w:r w:rsidRPr="003A40F5">
        <w:rPr>
          <w:bCs/>
          <w:sz w:val="24"/>
          <w:szCs w:val="24"/>
        </w:rPr>
        <w:t>1970s and 1980s</w:t>
      </w:r>
      <w:r w:rsidR="004B6640">
        <w:rPr>
          <w:bCs/>
          <w:sz w:val="24"/>
          <w:szCs w:val="24"/>
        </w:rPr>
        <w:t xml:space="preserve"> about the constitutionality of </w:t>
      </w:r>
      <w:r w:rsidRPr="003A40F5">
        <w:rPr>
          <w:bCs/>
          <w:sz w:val="24"/>
          <w:szCs w:val="24"/>
        </w:rPr>
        <w:t>“debtor prisons”</w:t>
      </w:r>
      <w:r w:rsidR="004B6640">
        <w:rPr>
          <w:bCs/>
          <w:sz w:val="24"/>
          <w:szCs w:val="24"/>
        </w:rPr>
        <w:t xml:space="preserve"> have gained new saliency.</w:t>
      </w:r>
    </w:p>
    <w:p w:rsidR="007027B6" w:rsidRDefault="007027B6" w:rsidP="007027B6">
      <w:pPr>
        <w:tabs>
          <w:tab w:val="left" w:pos="720"/>
          <w:tab w:val="left" w:pos="1440"/>
        </w:tabs>
        <w:spacing w:after="0" w:line="240" w:lineRule="auto"/>
        <w:contextualSpacing/>
        <w:jc w:val="both"/>
        <w:rPr>
          <w:bCs/>
          <w:sz w:val="24"/>
          <w:szCs w:val="24"/>
        </w:rPr>
      </w:pPr>
    </w:p>
    <w:p w:rsidR="007027B6" w:rsidRPr="004B1BF2" w:rsidRDefault="007027B6" w:rsidP="007027B6">
      <w:pPr>
        <w:tabs>
          <w:tab w:val="left" w:pos="720"/>
          <w:tab w:val="left" w:pos="1440"/>
        </w:tabs>
        <w:spacing w:after="0" w:line="240" w:lineRule="auto"/>
        <w:contextualSpacing/>
        <w:jc w:val="both"/>
        <w:rPr>
          <w:bCs/>
          <w:sz w:val="24"/>
          <w:szCs w:val="24"/>
        </w:rPr>
      </w:pPr>
      <w:r>
        <w:rPr>
          <w:bCs/>
          <w:sz w:val="24"/>
          <w:szCs w:val="24"/>
        </w:rPr>
        <w:tab/>
        <w:t xml:space="preserve">How should the costs of courts be allocated between taxpayers and users?  </w:t>
      </w:r>
      <w:r w:rsidRPr="003A40F5">
        <w:rPr>
          <w:bCs/>
          <w:sz w:val="24"/>
          <w:szCs w:val="24"/>
        </w:rPr>
        <w:t xml:space="preserve">Should court-based revenues be used </w:t>
      </w:r>
      <w:r>
        <w:rPr>
          <w:bCs/>
          <w:sz w:val="24"/>
          <w:szCs w:val="24"/>
        </w:rPr>
        <w:t xml:space="preserve">exclusively </w:t>
      </w:r>
      <w:r w:rsidRPr="003A40F5">
        <w:rPr>
          <w:bCs/>
          <w:sz w:val="24"/>
          <w:szCs w:val="24"/>
        </w:rPr>
        <w:t>for court services</w:t>
      </w:r>
      <w:r>
        <w:rPr>
          <w:bCs/>
          <w:sz w:val="24"/>
          <w:szCs w:val="24"/>
        </w:rPr>
        <w:t>, rendering courts</w:t>
      </w:r>
      <w:r w:rsidRPr="003A40F5">
        <w:rPr>
          <w:bCs/>
          <w:sz w:val="24"/>
          <w:szCs w:val="24"/>
        </w:rPr>
        <w:t xml:space="preserve"> self-supporting</w:t>
      </w:r>
      <w:r>
        <w:rPr>
          <w:bCs/>
          <w:sz w:val="24"/>
          <w:szCs w:val="24"/>
        </w:rPr>
        <w:t>?  What forms of services are positive entitlements, to be fully supported by the government?  Look also at the prices in the fee schedules: What kinds of fees are charged for what kinds of services to what users? What explains the different costs, based on the kinds of legal issues involved?  What are the legal bases</w:t>
      </w:r>
      <w:r w:rsidR="006C5546">
        <w:rPr>
          <w:bCs/>
          <w:sz w:val="24"/>
          <w:szCs w:val="24"/>
        </w:rPr>
        <w:t xml:space="preserve"> for imposing fees and fines?  F</w:t>
      </w:r>
      <w:r>
        <w:rPr>
          <w:bCs/>
          <w:sz w:val="24"/>
          <w:szCs w:val="24"/>
        </w:rPr>
        <w:t>or limiting them?</w:t>
      </w:r>
      <w:r w:rsidRPr="00322579">
        <w:rPr>
          <w:bCs/>
          <w:sz w:val="24"/>
          <w:szCs w:val="24"/>
        </w:rPr>
        <w:t xml:space="preserve"> </w:t>
      </w:r>
      <w:r>
        <w:rPr>
          <w:bCs/>
          <w:sz w:val="24"/>
          <w:szCs w:val="24"/>
        </w:rPr>
        <w:t xml:space="preserve"> Also reflect on the opening discussion of</w:t>
      </w:r>
      <w:r w:rsidRPr="00322579">
        <w:rPr>
          <w:bCs/>
          <w:i/>
          <w:sz w:val="24"/>
          <w:szCs w:val="24"/>
        </w:rPr>
        <w:t xml:space="preserve"> Boddie v. Connecticut</w:t>
      </w:r>
      <w:r>
        <w:rPr>
          <w:bCs/>
          <w:sz w:val="24"/>
          <w:szCs w:val="24"/>
        </w:rPr>
        <w:t xml:space="preserve"> and the British Columbia Trial Lawyers litigation.  How do those</w:t>
      </w:r>
      <w:r w:rsidR="00B27BBE">
        <w:rPr>
          <w:bCs/>
          <w:sz w:val="24"/>
          <w:szCs w:val="24"/>
        </w:rPr>
        <w:t xml:space="preserve"> judgments inform these issues?</w:t>
      </w:r>
    </w:p>
    <w:p w:rsidR="001A63F9" w:rsidRPr="006C5546" w:rsidRDefault="001A63F9" w:rsidP="006C5546">
      <w:pPr>
        <w:spacing w:after="0" w:line="240" w:lineRule="auto"/>
        <w:contextualSpacing/>
        <w:jc w:val="both"/>
        <w:rPr>
          <w:sz w:val="24"/>
          <w:szCs w:val="24"/>
        </w:rPr>
      </w:pPr>
    </w:p>
    <w:p w:rsidR="006920CF" w:rsidRPr="001A63F9" w:rsidRDefault="001A63F9" w:rsidP="001A63F9">
      <w:pPr>
        <w:tabs>
          <w:tab w:val="left" w:pos="720"/>
          <w:tab w:val="left" w:pos="1440"/>
        </w:tabs>
        <w:autoSpaceDE w:val="0"/>
        <w:autoSpaceDN w:val="0"/>
        <w:adjustRightInd w:val="0"/>
        <w:spacing w:after="0" w:line="240" w:lineRule="auto"/>
        <w:ind w:left="1440" w:hanging="1440"/>
        <w:contextualSpacing/>
        <w:rPr>
          <w:rFonts w:eastAsiaTheme="minorHAnsi" w:cs="Times New Roman"/>
          <w:i/>
          <w:iCs/>
          <w:sz w:val="24"/>
          <w:szCs w:val="24"/>
        </w:rPr>
      </w:pPr>
      <w:r>
        <w:rPr>
          <w:rFonts w:eastAsiaTheme="minorHAnsi" w:cs="Times New Roman"/>
          <w:i/>
          <w:iCs/>
          <w:sz w:val="24"/>
          <w:szCs w:val="24"/>
        </w:rPr>
        <w:tab/>
      </w:r>
      <w:r w:rsidR="006920CF" w:rsidRPr="00781A83">
        <w:rPr>
          <w:rFonts w:eastAsiaTheme="minorHAnsi" w:cs="Times New Roman"/>
          <w:i/>
          <w:iCs/>
          <w:sz w:val="24"/>
          <w:szCs w:val="24"/>
        </w:rPr>
        <w:t>Williams v. Illinois</w:t>
      </w:r>
      <w:r w:rsidR="006920CF" w:rsidRPr="00781A83">
        <w:rPr>
          <w:rFonts w:eastAsiaTheme="minorHAnsi" w:cs="Times New Roman"/>
          <w:sz w:val="24"/>
          <w:szCs w:val="24"/>
        </w:rPr>
        <w:t>, 399 US 235 (1969)</w:t>
      </w:r>
    </w:p>
    <w:p w:rsidR="001A63F9" w:rsidRDefault="001A63F9" w:rsidP="004B6640">
      <w:pPr>
        <w:spacing w:after="0" w:line="240" w:lineRule="auto"/>
        <w:contextualSpacing/>
        <w:jc w:val="both"/>
        <w:rPr>
          <w:rFonts w:eastAsiaTheme="minorHAnsi" w:cs="Times New Roman"/>
          <w:i/>
          <w:iCs/>
          <w:sz w:val="24"/>
          <w:szCs w:val="24"/>
        </w:rPr>
      </w:pPr>
    </w:p>
    <w:p w:rsidR="001A63F9" w:rsidRDefault="006920CF" w:rsidP="004B6640">
      <w:pPr>
        <w:spacing w:after="0" w:line="240" w:lineRule="auto"/>
        <w:ind w:firstLine="720"/>
        <w:contextualSpacing/>
        <w:jc w:val="both"/>
        <w:rPr>
          <w:i/>
          <w:sz w:val="24"/>
          <w:szCs w:val="24"/>
        </w:rPr>
      </w:pPr>
      <w:r w:rsidRPr="00781A83">
        <w:rPr>
          <w:rFonts w:eastAsiaTheme="minorHAnsi" w:cs="Times New Roman"/>
          <w:i/>
          <w:iCs/>
          <w:sz w:val="24"/>
          <w:szCs w:val="24"/>
        </w:rPr>
        <w:t>Bearden v. Georgia</w:t>
      </w:r>
      <w:r w:rsidRPr="00781A83">
        <w:rPr>
          <w:rFonts w:eastAsiaTheme="minorHAnsi" w:cs="Times New Roman"/>
          <w:sz w:val="24"/>
          <w:szCs w:val="24"/>
        </w:rPr>
        <w:t>, 461 U.S. 660 (1983)</w:t>
      </w:r>
    </w:p>
    <w:p w:rsidR="0032186A" w:rsidRPr="00781A83" w:rsidRDefault="0032186A" w:rsidP="0032186A">
      <w:pPr>
        <w:tabs>
          <w:tab w:val="left" w:pos="720"/>
          <w:tab w:val="left" w:pos="1440"/>
        </w:tabs>
        <w:autoSpaceDE w:val="0"/>
        <w:autoSpaceDN w:val="0"/>
        <w:adjustRightInd w:val="0"/>
        <w:spacing w:after="0" w:line="240" w:lineRule="auto"/>
        <w:ind w:left="1440" w:hanging="1440"/>
        <w:contextualSpacing/>
        <w:rPr>
          <w:rFonts w:eastAsiaTheme="minorHAnsi" w:cs="Times New Roman"/>
          <w:sz w:val="24"/>
          <w:szCs w:val="24"/>
        </w:rPr>
      </w:pPr>
    </w:p>
    <w:p w:rsidR="001A39AA" w:rsidRDefault="0032186A" w:rsidP="006C5546">
      <w:pPr>
        <w:tabs>
          <w:tab w:val="left" w:pos="720"/>
          <w:tab w:val="left" w:pos="1440"/>
        </w:tabs>
        <w:autoSpaceDE w:val="0"/>
        <w:autoSpaceDN w:val="0"/>
        <w:adjustRightInd w:val="0"/>
        <w:spacing w:after="0" w:line="240" w:lineRule="auto"/>
        <w:contextualSpacing/>
        <w:rPr>
          <w:rFonts w:eastAsiaTheme="minorHAnsi" w:cs="Times New Roman"/>
          <w:sz w:val="24"/>
          <w:szCs w:val="24"/>
        </w:rPr>
      </w:pPr>
      <w:r w:rsidRPr="00781A83">
        <w:rPr>
          <w:rFonts w:eastAsiaTheme="minorHAnsi" w:cs="Times New Roman"/>
          <w:sz w:val="24"/>
          <w:szCs w:val="24"/>
        </w:rPr>
        <w:tab/>
        <w:t xml:space="preserve">Ohio Supreme Court Bench Card, </w:t>
      </w:r>
      <w:r w:rsidRPr="00781A83">
        <w:rPr>
          <w:rFonts w:eastAsiaTheme="minorHAnsi" w:cs="Times New Roman"/>
          <w:i/>
          <w:sz w:val="24"/>
          <w:szCs w:val="24"/>
        </w:rPr>
        <w:t>Collection of Fines and Court Costs</w:t>
      </w:r>
      <w:r w:rsidRPr="00781A83">
        <w:rPr>
          <w:rFonts w:eastAsiaTheme="minorHAnsi" w:cs="Times New Roman"/>
          <w:sz w:val="24"/>
          <w:szCs w:val="24"/>
        </w:rPr>
        <w:t xml:space="preserve"> (2014)</w:t>
      </w:r>
    </w:p>
    <w:p w:rsidR="006C5546" w:rsidRDefault="006C5546" w:rsidP="006C5546">
      <w:pPr>
        <w:tabs>
          <w:tab w:val="left" w:pos="720"/>
          <w:tab w:val="left" w:pos="1440"/>
        </w:tabs>
        <w:autoSpaceDE w:val="0"/>
        <w:autoSpaceDN w:val="0"/>
        <w:adjustRightInd w:val="0"/>
        <w:spacing w:after="0" w:line="240" w:lineRule="auto"/>
        <w:contextualSpacing/>
        <w:rPr>
          <w:rFonts w:eastAsiaTheme="minorHAnsi" w:cs="Times New Roman"/>
          <w:sz w:val="24"/>
          <w:szCs w:val="24"/>
        </w:rPr>
      </w:pPr>
    </w:p>
    <w:p w:rsidR="006C5546" w:rsidRPr="00781A83" w:rsidRDefault="006C5546" w:rsidP="006C5546">
      <w:pPr>
        <w:tabs>
          <w:tab w:val="left" w:pos="720"/>
          <w:tab w:val="left" w:pos="1440"/>
        </w:tabs>
        <w:autoSpaceDE w:val="0"/>
        <w:autoSpaceDN w:val="0"/>
        <w:adjustRightInd w:val="0"/>
        <w:spacing w:after="0" w:line="240" w:lineRule="auto"/>
        <w:contextualSpacing/>
        <w:rPr>
          <w:rFonts w:eastAsiaTheme="minorHAnsi" w:cs="Times New Roman"/>
          <w:sz w:val="24"/>
          <w:szCs w:val="24"/>
        </w:rPr>
      </w:pPr>
      <w:r>
        <w:rPr>
          <w:rFonts w:eastAsiaTheme="minorHAnsi" w:cs="Times New Roman"/>
          <w:sz w:val="24"/>
          <w:szCs w:val="24"/>
        </w:rPr>
        <w:tab/>
      </w:r>
      <w:r w:rsidRPr="00781A83">
        <w:rPr>
          <w:rFonts w:eastAsiaTheme="minorHAnsi" w:cs="Times New Roman"/>
          <w:sz w:val="24"/>
          <w:szCs w:val="24"/>
        </w:rPr>
        <w:t xml:space="preserve">Brennan Center, </w:t>
      </w:r>
      <w:r w:rsidRPr="00781A83">
        <w:rPr>
          <w:rFonts w:eastAsiaTheme="minorHAnsi" w:cs="Times New Roman"/>
          <w:i/>
          <w:iCs/>
          <w:sz w:val="24"/>
          <w:szCs w:val="24"/>
        </w:rPr>
        <w:t xml:space="preserve">Criminal Justice Debt: A Barrier to Reentry </w:t>
      </w:r>
      <w:r w:rsidRPr="00781A83">
        <w:rPr>
          <w:rFonts w:eastAsiaTheme="minorHAnsi" w:cs="Times New Roman"/>
          <w:sz w:val="24"/>
          <w:szCs w:val="24"/>
        </w:rPr>
        <w:t>1</w:t>
      </w:r>
      <w:r w:rsidRPr="00781A83">
        <w:rPr>
          <w:rFonts w:eastAsiaTheme="minorHAnsi" w:cs="American Typewriter"/>
          <w:sz w:val="24"/>
          <w:szCs w:val="24"/>
        </w:rPr>
        <w:t>‐</w:t>
      </w:r>
      <w:r w:rsidRPr="00781A83">
        <w:rPr>
          <w:rFonts w:eastAsiaTheme="minorHAnsi" w:cs="Times New Roman"/>
          <w:sz w:val="24"/>
          <w:szCs w:val="24"/>
        </w:rPr>
        <w:t>33 (2010)</w:t>
      </w:r>
    </w:p>
    <w:p w:rsidR="001A39AA" w:rsidRDefault="001A39AA" w:rsidP="0032186A">
      <w:pPr>
        <w:tabs>
          <w:tab w:val="left" w:pos="720"/>
          <w:tab w:val="left" w:pos="1440"/>
        </w:tabs>
        <w:autoSpaceDE w:val="0"/>
        <w:autoSpaceDN w:val="0"/>
        <w:adjustRightInd w:val="0"/>
        <w:spacing w:after="0" w:line="240" w:lineRule="auto"/>
        <w:contextualSpacing/>
        <w:rPr>
          <w:rFonts w:eastAsiaTheme="minorHAnsi" w:cs="Times New Roman"/>
          <w:sz w:val="24"/>
          <w:szCs w:val="24"/>
        </w:rPr>
      </w:pPr>
    </w:p>
    <w:p w:rsidR="004B3540" w:rsidRDefault="004B3540" w:rsidP="004B3540">
      <w:pPr>
        <w:spacing w:after="0" w:line="240" w:lineRule="auto"/>
        <w:ind w:left="720"/>
        <w:contextualSpacing/>
        <w:jc w:val="both"/>
        <w:rPr>
          <w:sz w:val="24"/>
          <w:szCs w:val="24"/>
        </w:rPr>
      </w:pPr>
      <w:r>
        <w:rPr>
          <w:sz w:val="24"/>
          <w:szCs w:val="24"/>
        </w:rPr>
        <w:t xml:space="preserve">Complaint, </w:t>
      </w:r>
      <w:r w:rsidR="00392153">
        <w:rPr>
          <w:i/>
          <w:sz w:val="24"/>
          <w:szCs w:val="24"/>
        </w:rPr>
        <w:t>Fant</w:t>
      </w:r>
      <w:r w:rsidRPr="004B3540">
        <w:rPr>
          <w:i/>
          <w:sz w:val="24"/>
          <w:szCs w:val="24"/>
        </w:rPr>
        <w:t xml:space="preserve"> et al. v. City of </w:t>
      </w:r>
      <w:r w:rsidR="00392153">
        <w:rPr>
          <w:i/>
          <w:sz w:val="24"/>
          <w:szCs w:val="24"/>
        </w:rPr>
        <w:t>Ferguson</w:t>
      </w:r>
      <w:r>
        <w:rPr>
          <w:sz w:val="24"/>
          <w:szCs w:val="24"/>
        </w:rPr>
        <w:t>, Ca</w:t>
      </w:r>
      <w:r w:rsidR="00392153">
        <w:rPr>
          <w:sz w:val="24"/>
          <w:szCs w:val="24"/>
        </w:rPr>
        <w:t>se No. 4: 15</w:t>
      </w:r>
      <w:r w:rsidR="00B27BBE">
        <w:rPr>
          <w:sz w:val="24"/>
          <w:szCs w:val="24"/>
        </w:rPr>
        <w:t>-cv-</w:t>
      </w:r>
      <w:r w:rsidR="00392153">
        <w:rPr>
          <w:sz w:val="24"/>
          <w:szCs w:val="24"/>
        </w:rPr>
        <w:t>253</w:t>
      </w:r>
      <w:r w:rsidR="00B27BBE">
        <w:rPr>
          <w:sz w:val="24"/>
          <w:szCs w:val="24"/>
        </w:rPr>
        <w:t xml:space="preserve"> (</w:t>
      </w:r>
      <w:r w:rsidR="00392153">
        <w:rPr>
          <w:sz w:val="24"/>
          <w:szCs w:val="24"/>
        </w:rPr>
        <w:t>Feb</w:t>
      </w:r>
      <w:r w:rsidR="00B27BBE">
        <w:rPr>
          <w:sz w:val="24"/>
          <w:szCs w:val="24"/>
        </w:rPr>
        <w:t xml:space="preserve"> </w:t>
      </w:r>
      <w:r w:rsidR="00392153">
        <w:rPr>
          <w:sz w:val="24"/>
          <w:szCs w:val="24"/>
        </w:rPr>
        <w:t>8</w:t>
      </w:r>
      <w:r w:rsidR="00B27BBE">
        <w:rPr>
          <w:sz w:val="24"/>
          <w:szCs w:val="24"/>
        </w:rPr>
        <w:t>,</w:t>
      </w:r>
    </w:p>
    <w:p w:rsidR="004B3540" w:rsidRDefault="00392153" w:rsidP="00996602">
      <w:pPr>
        <w:spacing w:after="0" w:line="240" w:lineRule="auto"/>
        <w:ind w:left="720" w:firstLine="720"/>
        <w:contextualSpacing/>
        <w:jc w:val="both"/>
        <w:rPr>
          <w:sz w:val="24"/>
          <w:szCs w:val="24"/>
        </w:rPr>
      </w:pPr>
      <w:r>
        <w:rPr>
          <w:sz w:val="24"/>
          <w:szCs w:val="24"/>
        </w:rPr>
        <w:t>2015</w:t>
      </w:r>
      <w:r w:rsidR="004B3540">
        <w:rPr>
          <w:sz w:val="24"/>
          <w:szCs w:val="24"/>
        </w:rPr>
        <w:t>)</w:t>
      </w:r>
    </w:p>
    <w:p w:rsidR="00C220A9" w:rsidRPr="00C06956" w:rsidRDefault="00C220A9" w:rsidP="00C220A9">
      <w:pPr>
        <w:spacing w:after="0" w:line="240" w:lineRule="auto"/>
        <w:ind w:left="720"/>
        <w:contextualSpacing/>
        <w:jc w:val="both"/>
        <w:rPr>
          <w:rFonts w:eastAsiaTheme="minorHAnsi" w:cs="Times New Roman"/>
          <w:iCs/>
          <w:sz w:val="24"/>
          <w:szCs w:val="24"/>
        </w:rPr>
      </w:pPr>
      <w:r>
        <w:rPr>
          <w:rFonts w:eastAsiaTheme="minorHAnsi" w:cs="Times New Roman"/>
          <w:iCs/>
          <w:sz w:val="24"/>
          <w:szCs w:val="24"/>
        </w:rPr>
        <w:lastRenderedPageBreak/>
        <w:t xml:space="preserve">United States Department of Justice Civil Rights Division, </w:t>
      </w:r>
      <w:r w:rsidRPr="00C06956">
        <w:rPr>
          <w:rFonts w:eastAsiaTheme="minorHAnsi" w:cs="Times New Roman"/>
          <w:iCs/>
          <w:sz w:val="24"/>
          <w:szCs w:val="24"/>
        </w:rPr>
        <w:t xml:space="preserve">Investigation of the Ferguson </w:t>
      </w:r>
    </w:p>
    <w:p w:rsidR="00C220A9" w:rsidRPr="00C220A9" w:rsidRDefault="00C220A9" w:rsidP="00C220A9">
      <w:pPr>
        <w:spacing w:after="0" w:line="240" w:lineRule="auto"/>
        <w:ind w:left="720"/>
        <w:contextualSpacing/>
        <w:jc w:val="both"/>
        <w:rPr>
          <w:rFonts w:eastAsiaTheme="minorHAnsi" w:cs="Times New Roman"/>
          <w:iCs/>
          <w:sz w:val="24"/>
          <w:szCs w:val="24"/>
        </w:rPr>
      </w:pPr>
      <w:r w:rsidRPr="00C06956">
        <w:rPr>
          <w:rFonts w:eastAsiaTheme="minorHAnsi" w:cs="Times New Roman"/>
          <w:iCs/>
          <w:sz w:val="24"/>
          <w:szCs w:val="24"/>
        </w:rPr>
        <w:tab/>
        <w:t>Police Department</w:t>
      </w:r>
      <w:r w:rsidR="00C06956">
        <w:rPr>
          <w:rFonts w:eastAsiaTheme="minorHAnsi" w:cs="Times New Roman"/>
          <w:iCs/>
          <w:sz w:val="24"/>
          <w:szCs w:val="24"/>
        </w:rPr>
        <w:t xml:space="preserve"> (March 4, 2015)</w:t>
      </w:r>
      <w:bookmarkStart w:id="2" w:name="_GoBack"/>
      <w:bookmarkEnd w:id="2"/>
    </w:p>
    <w:p w:rsidR="00676225" w:rsidRDefault="00676225" w:rsidP="004B3540">
      <w:pPr>
        <w:spacing w:after="0" w:line="240" w:lineRule="auto"/>
        <w:ind w:left="720"/>
        <w:contextualSpacing/>
        <w:jc w:val="both"/>
        <w:rPr>
          <w:sz w:val="24"/>
          <w:szCs w:val="24"/>
        </w:rPr>
      </w:pPr>
    </w:p>
    <w:p w:rsidR="004B3540" w:rsidRPr="004B3540" w:rsidRDefault="004B3540" w:rsidP="004B3540">
      <w:pPr>
        <w:spacing w:after="0" w:line="240" w:lineRule="auto"/>
        <w:ind w:left="720"/>
        <w:contextualSpacing/>
        <w:jc w:val="both"/>
        <w:rPr>
          <w:i/>
          <w:sz w:val="24"/>
          <w:szCs w:val="24"/>
        </w:rPr>
      </w:pPr>
      <w:r>
        <w:rPr>
          <w:sz w:val="24"/>
          <w:szCs w:val="24"/>
        </w:rPr>
        <w:t xml:space="preserve">Joseph Shapiro, </w:t>
      </w:r>
      <w:r w:rsidRPr="004B3540">
        <w:rPr>
          <w:i/>
          <w:sz w:val="24"/>
          <w:szCs w:val="24"/>
        </w:rPr>
        <w:t xml:space="preserve">Alabama Settlement Could be Model for Handling Poor Defendants in </w:t>
      </w:r>
    </w:p>
    <w:p w:rsidR="004B3540" w:rsidRPr="003A40F5" w:rsidRDefault="004B3540" w:rsidP="00BF31B4">
      <w:pPr>
        <w:spacing w:after="0" w:line="240" w:lineRule="auto"/>
        <w:ind w:left="720" w:firstLine="720"/>
        <w:contextualSpacing/>
        <w:jc w:val="both"/>
        <w:rPr>
          <w:rFonts w:eastAsiaTheme="minorHAnsi" w:cs="Times New Roman"/>
          <w:sz w:val="24"/>
          <w:szCs w:val="24"/>
        </w:rPr>
      </w:pPr>
      <w:r w:rsidRPr="004B3540">
        <w:rPr>
          <w:i/>
          <w:sz w:val="24"/>
          <w:szCs w:val="24"/>
        </w:rPr>
        <w:t>Ferguson, Mo.</w:t>
      </w:r>
      <w:r>
        <w:rPr>
          <w:sz w:val="24"/>
          <w:szCs w:val="24"/>
        </w:rPr>
        <w:t>, NPR, Nov.</w:t>
      </w:r>
      <w:r w:rsidR="00705964">
        <w:rPr>
          <w:sz w:val="24"/>
          <w:szCs w:val="24"/>
        </w:rPr>
        <w:t xml:space="preserve"> 20, 2014</w:t>
      </w:r>
    </w:p>
    <w:p w:rsidR="006920CF" w:rsidRPr="00781A83" w:rsidRDefault="006920CF" w:rsidP="004B3540">
      <w:pPr>
        <w:tabs>
          <w:tab w:val="left" w:pos="720"/>
          <w:tab w:val="left" w:pos="1440"/>
        </w:tabs>
        <w:autoSpaceDE w:val="0"/>
        <w:autoSpaceDN w:val="0"/>
        <w:adjustRightInd w:val="0"/>
        <w:spacing w:after="0" w:line="240" w:lineRule="auto"/>
        <w:contextualSpacing/>
        <w:rPr>
          <w:rFonts w:eastAsiaTheme="minorHAnsi" w:cs="Times New Roman"/>
          <w:sz w:val="24"/>
          <w:szCs w:val="24"/>
        </w:rPr>
      </w:pPr>
    </w:p>
    <w:p w:rsidR="001A39AA" w:rsidRDefault="006920CF" w:rsidP="001A39AA">
      <w:pPr>
        <w:tabs>
          <w:tab w:val="left" w:pos="720"/>
          <w:tab w:val="left" w:pos="1440"/>
        </w:tabs>
        <w:autoSpaceDE w:val="0"/>
        <w:autoSpaceDN w:val="0"/>
        <w:adjustRightInd w:val="0"/>
        <w:spacing w:after="0" w:line="240" w:lineRule="auto"/>
        <w:ind w:left="1440" w:hanging="1440"/>
        <w:contextualSpacing/>
        <w:rPr>
          <w:rFonts w:eastAsiaTheme="minorHAnsi" w:cs="Times New Roman"/>
          <w:iCs/>
          <w:sz w:val="24"/>
          <w:szCs w:val="24"/>
        </w:rPr>
      </w:pPr>
      <w:r w:rsidRPr="00781A83">
        <w:rPr>
          <w:rFonts w:eastAsiaTheme="minorHAnsi" w:cs="Times New Roman"/>
          <w:sz w:val="24"/>
          <w:szCs w:val="24"/>
        </w:rPr>
        <w:tab/>
      </w:r>
      <w:r w:rsidR="001A39AA" w:rsidRPr="00781A83">
        <w:rPr>
          <w:rFonts w:eastAsiaTheme="minorHAnsi" w:cs="Times New Roman"/>
          <w:sz w:val="24"/>
          <w:szCs w:val="24"/>
        </w:rPr>
        <w:t xml:space="preserve">Daniel J. Hall, </w:t>
      </w:r>
      <w:r w:rsidR="001A39AA" w:rsidRPr="00781A83">
        <w:rPr>
          <w:rFonts w:eastAsiaTheme="minorHAnsi" w:cs="Times New Roman"/>
          <w:i/>
          <w:iCs/>
          <w:sz w:val="24"/>
          <w:szCs w:val="24"/>
        </w:rPr>
        <w:t>Reshaping the Face of Justice: The Economic Tsunami Continues</w:t>
      </w:r>
      <w:r w:rsidR="001A39AA" w:rsidRPr="00781A83">
        <w:rPr>
          <w:rFonts w:eastAsiaTheme="minorHAnsi" w:cs="Times New Roman"/>
          <w:sz w:val="24"/>
          <w:szCs w:val="24"/>
        </w:rPr>
        <w:t xml:space="preserve">, </w:t>
      </w:r>
      <w:r w:rsidR="001A39AA" w:rsidRPr="00781A83">
        <w:rPr>
          <w:rFonts w:eastAsiaTheme="minorHAnsi" w:cs="Times New Roman"/>
          <w:i/>
          <w:sz w:val="24"/>
          <w:szCs w:val="24"/>
        </w:rPr>
        <w:t>in</w:t>
      </w:r>
      <w:r w:rsidR="001A39AA" w:rsidRPr="00781A83">
        <w:rPr>
          <w:rFonts w:eastAsiaTheme="minorHAnsi" w:cs="Times New Roman"/>
          <w:sz w:val="24"/>
          <w:szCs w:val="24"/>
        </w:rPr>
        <w:t xml:space="preserve"> </w:t>
      </w:r>
      <w:r w:rsidR="001A39AA" w:rsidRPr="00781A83">
        <w:rPr>
          <w:rFonts w:eastAsiaTheme="minorHAnsi" w:cs="Times New Roman"/>
          <w:smallCaps/>
          <w:sz w:val="24"/>
          <w:szCs w:val="24"/>
        </w:rPr>
        <w:t xml:space="preserve">National Center for the State Courts, </w:t>
      </w:r>
      <w:r w:rsidR="001A39AA" w:rsidRPr="00781A83">
        <w:rPr>
          <w:rFonts w:eastAsiaTheme="minorHAnsi" w:cs="Times New Roman"/>
          <w:iCs/>
          <w:smallCaps/>
          <w:sz w:val="24"/>
          <w:szCs w:val="24"/>
        </w:rPr>
        <w:t>Future Trends in State Courts (2011</w:t>
      </w:r>
      <w:r w:rsidR="001A39AA" w:rsidRPr="00781A83">
        <w:rPr>
          <w:rFonts w:eastAsiaTheme="minorHAnsi" w:cs="Times New Roman"/>
          <w:iCs/>
          <w:sz w:val="24"/>
          <w:szCs w:val="24"/>
        </w:rPr>
        <w:t>)</w:t>
      </w:r>
    </w:p>
    <w:p w:rsidR="001A39AA" w:rsidRPr="00781A83" w:rsidRDefault="001A39AA" w:rsidP="001A39AA">
      <w:pPr>
        <w:tabs>
          <w:tab w:val="left" w:pos="720"/>
          <w:tab w:val="left" w:pos="1440"/>
        </w:tabs>
        <w:autoSpaceDE w:val="0"/>
        <w:autoSpaceDN w:val="0"/>
        <w:adjustRightInd w:val="0"/>
        <w:spacing w:after="0" w:line="240" w:lineRule="auto"/>
        <w:ind w:left="1440" w:hanging="1440"/>
        <w:contextualSpacing/>
        <w:rPr>
          <w:rFonts w:eastAsiaTheme="minorHAnsi" w:cs="Times New Roman"/>
          <w:sz w:val="24"/>
          <w:szCs w:val="24"/>
        </w:rPr>
      </w:pPr>
    </w:p>
    <w:p w:rsidR="006920CF" w:rsidRDefault="001A39AA" w:rsidP="006920CF">
      <w:pPr>
        <w:tabs>
          <w:tab w:val="left" w:pos="720"/>
          <w:tab w:val="left" w:pos="1440"/>
        </w:tabs>
        <w:autoSpaceDE w:val="0"/>
        <w:autoSpaceDN w:val="0"/>
        <w:adjustRightInd w:val="0"/>
        <w:spacing w:after="0" w:line="240" w:lineRule="auto"/>
        <w:ind w:left="1440" w:hanging="1440"/>
        <w:contextualSpacing/>
        <w:rPr>
          <w:rFonts w:eastAsiaTheme="minorHAnsi" w:cs="Times New Roman"/>
          <w:sz w:val="24"/>
          <w:szCs w:val="24"/>
        </w:rPr>
      </w:pPr>
      <w:r>
        <w:rPr>
          <w:rFonts w:eastAsiaTheme="minorHAnsi" w:cs="Times New Roman"/>
          <w:sz w:val="24"/>
          <w:szCs w:val="24"/>
        </w:rPr>
        <w:tab/>
      </w:r>
      <w:r w:rsidR="006920CF" w:rsidRPr="00781A83">
        <w:rPr>
          <w:rFonts w:eastAsiaTheme="minorHAnsi" w:cs="Times New Roman"/>
          <w:sz w:val="24"/>
          <w:szCs w:val="24"/>
        </w:rPr>
        <w:t>Fee Schedules:</w:t>
      </w:r>
    </w:p>
    <w:p w:rsidR="006920CF" w:rsidRPr="00781A83" w:rsidRDefault="006920CF" w:rsidP="006920CF">
      <w:pPr>
        <w:tabs>
          <w:tab w:val="left" w:pos="720"/>
          <w:tab w:val="left" w:pos="1440"/>
        </w:tabs>
        <w:autoSpaceDE w:val="0"/>
        <w:autoSpaceDN w:val="0"/>
        <w:adjustRightInd w:val="0"/>
        <w:spacing w:after="0" w:line="240" w:lineRule="auto"/>
        <w:ind w:left="1440" w:hanging="1440"/>
        <w:contextualSpacing/>
        <w:rPr>
          <w:rFonts w:eastAsiaTheme="minorHAnsi" w:cs="Times New Roman"/>
          <w:sz w:val="24"/>
          <w:szCs w:val="24"/>
        </w:rPr>
      </w:pPr>
      <w:r w:rsidRPr="00781A83">
        <w:rPr>
          <w:rFonts w:eastAsiaTheme="minorHAnsi" w:cs="Times New Roman"/>
          <w:sz w:val="24"/>
          <w:szCs w:val="24"/>
        </w:rPr>
        <w:tab/>
      </w:r>
      <w:r w:rsidRPr="00781A83">
        <w:rPr>
          <w:rFonts w:eastAsiaTheme="minorHAnsi" w:cs="Times New Roman"/>
          <w:sz w:val="24"/>
          <w:szCs w:val="24"/>
        </w:rPr>
        <w:tab/>
        <w:t>Circuit Court Fee Schedule, Oregon Judicial Department (2014)</w:t>
      </w:r>
    </w:p>
    <w:p w:rsidR="006920CF" w:rsidRPr="00781A83" w:rsidRDefault="006920CF" w:rsidP="006920CF">
      <w:pPr>
        <w:tabs>
          <w:tab w:val="left" w:pos="720"/>
          <w:tab w:val="left" w:pos="1440"/>
        </w:tabs>
        <w:autoSpaceDE w:val="0"/>
        <w:autoSpaceDN w:val="0"/>
        <w:adjustRightInd w:val="0"/>
        <w:spacing w:after="0" w:line="240" w:lineRule="auto"/>
        <w:ind w:left="1440" w:hanging="1440"/>
        <w:contextualSpacing/>
        <w:rPr>
          <w:rFonts w:eastAsiaTheme="minorHAnsi" w:cs="Times New Roman"/>
          <w:sz w:val="24"/>
          <w:szCs w:val="24"/>
        </w:rPr>
      </w:pPr>
      <w:r w:rsidRPr="00781A83">
        <w:rPr>
          <w:rFonts w:eastAsiaTheme="minorHAnsi" w:cs="Times New Roman"/>
          <w:sz w:val="24"/>
          <w:szCs w:val="24"/>
        </w:rPr>
        <w:tab/>
      </w:r>
      <w:r w:rsidRPr="00781A83">
        <w:rPr>
          <w:rFonts w:eastAsiaTheme="minorHAnsi" w:cs="Times New Roman"/>
          <w:sz w:val="24"/>
          <w:szCs w:val="24"/>
        </w:rPr>
        <w:tab/>
      </w:r>
      <w:r w:rsidR="006F1CA6" w:rsidRPr="00781A83">
        <w:rPr>
          <w:rFonts w:eastAsiaTheme="minorHAnsi" w:cs="Times New Roman"/>
          <w:sz w:val="24"/>
          <w:szCs w:val="24"/>
        </w:rPr>
        <w:t>H</w:t>
      </w:r>
      <w:r w:rsidR="006F1CA6">
        <w:rPr>
          <w:rFonts w:eastAsiaTheme="minorHAnsi" w:cs="Times New Roman"/>
          <w:sz w:val="24"/>
          <w:szCs w:val="24"/>
        </w:rPr>
        <w:t xml:space="preserve">er Majesty’s (HM) </w:t>
      </w:r>
      <w:r w:rsidRPr="00781A83">
        <w:rPr>
          <w:rFonts w:eastAsiaTheme="minorHAnsi" w:cs="Times New Roman"/>
          <w:sz w:val="24"/>
          <w:szCs w:val="24"/>
        </w:rPr>
        <w:t xml:space="preserve">Court &amp; Tribunal System, </w:t>
      </w:r>
      <w:r w:rsidRPr="00781A83">
        <w:rPr>
          <w:rFonts w:eastAsiaTheme="minorHAnsi" w:cs="Times New Roman"/>
          <w:i/>
          <w:sz w:val="24"/>
          <w:szCs w:val="24"/>
        </w:rPr>
        <w:t>Civil and Family Court Fees</w:t>
      </w:r>
      <w:r w:rsidRPr="00781A83">
        <w:rPr>
          <w:rFonts w:eastAsiaTheme="minorHAnsi" w:cs="Times New Roman"/>
          <w:sz w:val="24"/>
          <w:szCs w:val="24"/>
        </w:rPr>
        <w:t xml:space="preserve"> (2014)</w:t>
      </w:r>
    </w:p>
    <w:p w:rsidR="001A39AA" w:rsidRPr="00781A83" w:rsidRDefault="001A39AA" w:rsidP="001A39AA">
      <w:pPr>
        <w:tabs>
          <w:tab w:val="left" w:pos="720"/>
          <w:tab w:val="left" w:pos="1440"/>
        </w:tabs>
        <w:autoSpaceDE w:val="0"/>
        <w:autoSpaceDN w:val="0"/>
        <w:adjustRightInd w:val="0"/>
        <w:spacing w:after="0" w:line="240" w:lineRule="auto"/>
        <w:contextualSpacing/>
        <w:rPr>
          <w:rFonts w:eastAsiaTheme="minorHAnsi" w:cs="Times New Roman"/>
          <w:sz w:val="24"/>
          <w:szCs w:val="24"/>
        </w:rPr>
      </w:pPr>
    </w:p>
    <w:p w:rsidR="001A39AA" w:rsidRDefault="001A39AA" w:rsidP="001A39AA">
      <w:pPr>
        <w:spacing w:after="0" w:line="240" w:lineRule="auto"/>
        <w:ind w:firstLine="720"/>
        <w:contextualSpacing/>
        <w:jc w:val="both"/>
        <w:rPr>
          <w:sz w:val="24"/>
          <w:szCs w:val="24"/>
        </w:rPr>
      </w:pPr>
      <w:r w:rsidRPr="003A40F5">
        <w:rPr>
          <w:i/>
          <w:sz w:val="24"/>
          <w:szCs w:val="24"/>
        </w:rPr>
        <w:t>United States v. Kras</w:t>
      </w:r>
      <w:r w:rsidRPr="003A40F5">
        <w:rPr>
          <w:sz w:val="24"/>
          <w:szCs w:val="24"/>
        </w:rPr>
        <w:t>, 409 U.S. 434 (1973)</w:t>
      </w:r>
    </w:p>
    <w:p w:rsidR="0032186A" w:rsidRDefault="0032186A" w:rsidP="006920CF">
      <w:pPr>
        <w:tabs>
          <w:tab w:val="left" w:pos="720"/>
          <w:tab w:val="left" w:pos="1440"/>
        </w:tabs>
        <w:autoSpaceDE w:val="0"/>
        <w:autoSpaceDN w:val="0"/>
        <w:adjustRightInd w:val="0"/>
        <w:spacing w:after="0" w:line="240" w:lineRule="auto"/>
        <w:ind w:left="1440" w:hanging="1440"/>
        <w:contextualSpacing/>
        <w:rPr>
          <w:rFonts w:eastAsiaTheme="minorHAnsi" w:cs="Times New Roman"/>
          <w:sz w:val="24"/>
          <w:szCs w:val="24"/>
        </w:rPr>
      </w:pPr>
    </w:p>
    <w:p w:rsidR="007027B6" w:rsidRDefault="007027B6" w:rsidP="007027B6">
      <w:pPr>
        <w:spacing w:after="0" w:line="240" w:lineRule="auto"/>
        <w:ind w:left="720"/>
        <w:contextualSpacing/>
        <w:jc w:val="both"/>
        <w:rPr>
          <w:rFonts w:eastAsiaTheme="minorHAnsi" w:cs="Times New Roman"/>
          <w:iCs/>
          <w:sz w:val="24"/>
          <w:szCs w:val="24"/>
        </w:rPr>
      </w:pPr>
      <w:r w:rsidRPr="003A40F5">
        <w:rPr>
          <w:rFonts w:eastAsiaTheme="minorHAnsi" w:cs="Times New Roman"/>
          <w:iCs/>
          <w:sz w:val="24"/>
          <w:szCs w:val="24"/>
        </w:rPr>
        <w:t xml:space="preserve">Michael J. Graetz, </w:t>
      </w:r>
      <w:r w:rsidRPr="003A40F5">
        <w:rPr>
          <w:rFonts w:eastAsiaTheme="minorHAnsi" w:cs="Times New Roman"/>
          <w:i/>
          <w:iCs/>
          <w:sz w:val="24"/>
          <w:szCs w:val="24"/>
        </w:rPr>
        <w:t>Trusting Courts: Redressing the State Court Funding Crisis</w:t>
      </w:r>
      <w:r w:rsidRPr="003A40F5">
        <w:rPr>
          <w:rFonts w:eastAsiaTheme="minorHAnsi" w:cs="Times New Roman"/>
          <w:iCs/>
          <w:sz w:val="24"/>
          <w:szCs w:val="24"/>
        </w:rPr>
        <w:t xml:space="preserve">, </w:t>
      </w:r>
      <w:r w:rsidRPr="003A40F5">
        <w:rPr>
          <w:rFonts w:eastAsiaTheme="minorHAnsi" w:cs="Times New Roman"/>
          <w:iCs/>
          <w:smallCaps/>
          <w:sz w:val="24"/>
          <w:szCs w:val="24"/>
        </w:rPr>
        <w:t>Daedalus</w:t>
      </w:r>
    </w:p>
    <w:p w:rsidR="007027B6" w:rsidRPr="003A40F5" w:rsidRDefault="006C5546" w:rsidP="00BF31B4">
      <w:pPr>
        <w:spacing w:after="0" w:line="240" w:lineRule="auto"/>
        <w:ind w:left="720" w:firstLine="720"/>
        <w:contextualSpacing/>
        <w:jc w:val="both"/>
        <w:rPr>
          <w:rFonts w:eastAsiaTheme="minorHAnsi" w:cs="Times New Roman"/>
          <w:iCs/>
          <w:sz w:val="24"/>
          <w:szCs w:val="24"/>
        </w:rPr>
      </w:pPr>
      <w:r>
        <w:rPr>
          <w:rFonts w:eastAsiaTheme="minorHAnsi" w:cs="Times New Roman"/>
          <w:iCs/>
          <w:sz w:val="24"/>
          <w:szCs w:val="24"/>
        </w:rPr>
        <w:t xml:space="preserve">96 </w:t>
      </w:r>
      <w:r w:rsidR="007027B6" w:rsidRPr="003A40F5">
        <w:rPr>
          <w:rFonts w:eastAsiaTheme="minorHAnsi" w:cs="Times New Roman"/>
          <w:iCs/>
          <w:sz w:val="24"/>
          <w:szCs w:val="24"/>
        </w:rPr>
        <w:t>(</w:t>
      </w:r>
      <w:r w:rsidR="007027B6">
        <w:rPr>
          <w:rFonts w:eastAsiaTheme="minorHAnsi" w:cs="Times New Roman"/>
          <w:iCs/>
          <w:sz w:val="24"/>
          <w:szCs w:val="24"/>
        </w:rPr>
        <w:t xml:space="preserve">Summer </w:t>
      </w:r>
      <w:r w:rsidR="007027B6" w:rsidRPr="003A40F5">
        <w:rPr>
          <w:rFonts w:eastAsiaTheme="minorHAnsi" w:cs="Times New Roman"/>
          <w:iCs/>
          <w:sz w:val="24"/>
          <w:szCs w:val="24"/>
        </w:rPr>
        <w:t>2014)</w:t>
      </w:r>
    </w:p>
    <w:p w:rsidR="004B6640" w:rsidRDefault="004B6640" w:rsidP="007027B6">
      <w:pPr>
        <w:spacing w:after="0" w:line="240" w:lineRule="auto"/>
        <w:contextualSpacing/>
        <w:jc w:val="both"/>
        <w:rPr>
          <w:rFonts w:eastAsiaTheme="minorHAnsi" w:cs="Times New Roman"/>
          <w:i/>
          <w:iCs/>
          <w:sz w:val="24"/>
          <w:szCs w:val="24"/>
        </w:rPr>
      </w:pPr>
    </w:p>
    <w:p w:rsidR="00BF31B4" w:rsidRDefault="001A39AA" w:rsidP="00652131">
      <w:pPr>
        <w:spacing w:after="0" w:line="240" w:lineRule="auto"/>
        <w:ind w:left="720"/>
        <w:contextualSpacing/>
        <w:jc w:val="both"/>
        <w:rPr>
          <w:rFonts w:eastAsiaTheme="minorHAnsi" w:cs="Times New Roman"/>
          <w:i/>
          <w:iCs/>
          <w:sz w:val="24"/>
          <w:szCs w:val="24"/>
        </w:rPr>
      </w:pPr>
      <w:r w:rsidRPr="00652131">
        <w:rPr>
          <w:rFonts w:eastAsiaTheme="minorHAnsi" w:cs="Times New Roman"/>
          <w:iCs/>
          <w:sz w:val="24"/>
          <w:szCs w:val="24"/>
        </w:rPr>
        <w:t xml:space="preserve">Stephen J. Ware, </w:t>
      </w:r>
      <w:r w:rsidRPr="00652131">
        <w:rPr>
          <w:rFonts w:eastAsiaTheme="minorHAnsi" w:cs="Times New Roman"/>
          <w:i/>
          <w:iCs/>
          <w:sz w:val="24"/>
          <w:szCs w:val="24"/>
        </w:rPr>
        <w:t>Is Adjudication a Public Good? “Over</w:t>
      </w:r>
      <w:r w:rsidR="00B27BBE">
        <w:rPr>
          <w:rFonts w:eastAsiaTheme="minorHAnsi" w:cs="Times New Roman"/>
          <w:i/>
          <w:iCs/>
          <w:sz w:val="24"/>
          <w:szCs w:val="24"/>
        </w:rPr>
        <w:t>crowded Courts” and the Private</w:t>
      </w:r>
    </w:p>
    <w:p w:rsidR="001A39AA" w:rsidRPr="00652131" w:rsidRDefault="001A39AA" w:rsidP="00BF31B4">
      <w:pPr>
        <w:spacing w:after="0" w:line="240" w:lineRule="auto"/>
        <w:ind w:left="720" w:firstLine="720"/>
        <w:contextualSpacing/>
        <w:jc w:val="both"/>
        <w:rPr>
          <w:rFonts w:eastAsiaTheme="minorHAnsi" w:cs="Times New Roman"/>
          <w:iCs/>
          <w:sz w:val="24"/>
          <w:szCs w:val="24"/>
        </w:rPr>
      </w:pPr>
      <w:r w:rsidRPr="00652131">
        <w:rPr>
          <w:rFonts w:eastAsiaTheme="minorHAnsi" w:cs="Times New Roman"/>
          <w:i/>
          <w:iCs/>
          <w:sz w:val="24"/>
          <w:szCs w:val="24"/>
        </w:rPr>
        <w:t>Sector Alternative of Arbitration</w:t>
      </w:r>
      <w:r w:rsidRPr="00652131">
        <w:rPr>
          <w:rFonts w:eastAsiaTheme="minorHAnsi" w:cs="Times New Roman"/>
          <w:iCs/>
          <w:sz w:val="24"/>
          <w:szCs w:val="24"/>
        </w:rPr>
        <w:t xml:space="preserve">, </w:t>
      </w:r>
      <w:r w:rsidR="00652131" w:rsidRPr="00652131">
        <w:rPr>
          <w:rFonts w:eastAsiaTheme="minorHAnsi" w:cs="Times New Roman"/>
          <w:iCs/>
          <w:sz w:val="24"/>
          <w:szCs w:val="24"/>
        </w:rPr>
        <w:t>14 Cardozo J. Conflict Resolution 899 (2013).</w:t>
      </w:r>
    </w:p>
    <w:p w:rsidR="001A39AA" w:rsidRPr="00652131" w:rsidRDefault="001A39AA" w:rsidP="007027B6">
      <w:pPr>
        <w:spacing w:after="0" w:line="240" w:lineRule="auto"/>
        <w:contextualSpacing/>
        <w:jc w:val="both"/>
        <w:rPr>
          <w:rFonts w:eastAsiaTheme="minorHAnsi" w:cs="Times New Roman"/>
          <w:iCs/>
          <w:sz w:val="24"/>
          <w:szCs w:val="24"/>
        </w:rPr>
      </w:pPr>
    </w:p>
    <w:p w:rsidR="001A39AA" w:rsidRDefault="001A39AA" w:rsidP="007027B6">
      <w:pPr>
        <w:spacing w:after="0" w:line="240" w:lineRule="auto"/>
        <w:contextualSpacing/>
        <w:jc w:val="both"/>
        <w:rPr>
          <w:sz w:val="24"/>
          <w:szCs w:val="24"/>
        </w:rPr>
      </w:pPr>
    </w:p>
    <w:p w:rsidR="00F0420A" w:rsidRDefault="004B1BF2" w:rsidP="00D77599">
      <w:pPr>
        <w:spacing w:after="0" w:line="240" w:lineRule="auto"/>
        <w:contextualSpacing/>
        <w:jc w:val="both"/>
        <w:rPr>
          <w:b/>
          <w:sz w:val="28"/>
          <w:szCs w:val="28"/>
        </w:rPr>
      </w:pPr>
      <w:r>
        <w:rPr>
          <w:b/>
          <w:sz w:val="28"/>
          <w:szCs w:val="28"/>
        </w:rPr>
        <w:t>March 30</w:t>
      </w:r>
      <w:r w:rsidR="00705964">
        <w:rPr>
          <w:b/>
          <w:sz w:val="28"/>
          <w:szCs w:val="28"/>
        </w:rPr>
        <w:t xml:space="preserve"> </w:t>
      </w:r>
      <w:r w:rsidR="006C5546">
        <w:rPr>
          <w:b/>
          <w:sz w:val="28"/>
          <w:szCs w:val="28"/>
        </w:rPr>
        <w:t>(C</w:t>
      </w:r>
      <w:r w:rsidR="00031C53">
        <w:rPr>
          <w:b/>
          <w:sz w:val="28"/>
          <w:szCs w:val="28"/>
        </w:rPr>
        <w:t>lass 9</w:t>
      </w:r>
      <w:r w:rsidR="00F0420A" w:rsidRPr="00B87BD3">
        <w:rPr>
          <w:b/>
          <w:sz w:val="28"/>
          <w:szCs w:val="28"/>
        </w:rPr>
        <w:t>)</w:t>
      </w:r>
      <w:r>
        <w:rPr>
          <w:b/>
          <w:sz w:val="28"/>
          <w:szCs w:val="28"/>
        </w:rPr>
        <w:t>:</w:t>
      </w:r>
      <w:r w:rsidR="00B27BBE">
        <w:rPr>
          <w:b/>
          <w:sz w:val="28"/>
          <w:szCs w:val="28"/>
        </w:rPr>
        <w:t xml:space="preserve"> </w:t>
      </w:r>
      <w:r w:rsidR="00676225">
        <w:rPr>
          <w:b/>
          <w:sz w:val="28"/>
          <w:szCs w:val="28"/>
        </w:rPr>
        <w:t xml:space="preserve"> </w:t>
      </w:r>
      <w:r w:rsidR="00F0420A" w:rsidRPr="00B87BD3">
        <w:rPr>
          <w:b/>
          <w:sz w:val="28"/>
          <w:szCs w:val="28"/>
        </w:rPr>
        <w:t>“Unnecessary Litigation”:</w:t>
      </w:r>
      <w:r w:rsidR="00F23B3F">
        <w:rPr>
          <w:b/>
          <w:sz w:val="28"/>
          <w:szCs w:val="28"/>
        </w:rPr>
        <w:t xml:space="preserve"> </w:t>
      </w:r>
      <w:r w:rsidR="00F0420A" w:rsidRPr="00B87BD3">
        <w:rPr>
          <w:b/>
          <w:sz w:val="28"/>
          <w:szCs w:val="28"/>
        </w:rPr>
        <w:t>A Critique of Courts</w:t>
      </w:r>
    </w:p>
    <w:p w:rsidR="00F23B3F" w:rsidRDefault="004B6640" w:rsidP="00D77599">
      <w:pPr>
        <w:spacing w:after="0" w:line="240" w:lineRule="auto"/>
        <w:contextualSpacing/>
        <w:jc w:val="both"/>
        <w:rPr>
          <w:sz w:val="24"/>
          <w:szCs w:val="24"/>
        </w:rPr>
      </w:pPr>
      <w:r>
        <w:rPr>
          <w:b/>
          <w:sz w:val="28"/>
          <w:szCs w:val="28"/>
        </w:rPr>
        <w:tab/>
      </w:r>
      <w:r w:rsidRPr="004B6640">
        <w:rPr>
          <w:sz w:val="24"/>
          <w:szCs w:val="24"/>
        </w:rPr>
        <w:t xml:space="preserve">A large anti-court movement </w:t>
      </w:r>
      <w:r w:rsidR="00F23B3F">
        <w:rPr>
          <w:sz w:val="24"/>
          <w:szCs w:val="24"/>
        </w:rPr>
        <w:t>has formed and had a remarkable impact in terms of rules, statutes, and doctrine in the United States.  W</w:t>
      </w:r>
      <w:r w:rsidR="006F1CA6">
        <w:rPr>
          <w:sz w:val="24"/>
          <w:szCs w:val="24"/>
        </w:rPr>
        <w:t xml:space="preserve">hat is the nature of the critique? </w:t>
      </w:r>
      <w:r w:rsidR="00F23B3F">
        <w:rPr>
          <w:sz w:val="24"/>
          <w:szCs w:val="24"/>
        </w:rPr>
        <w:t xml:space="preserve">What are the empirical claims and how might they be tested? </w:t>
      </w:r>
      <w:r w:rsidR="006F1CA6">
        <w:rPr>
          <w:sz w:val="24"/>
          <w:szCs w:val="24"/>
        </w:rPr>
        <w:t xml:space="preserve">How are the concerns translated into law?  </w:t>
      </w:r>
      <w:r w:rsidR="00753EA5">
        <w:rPr>
          <w:sz w:val="24"/>
          <w:szCs w:val="24"/>
        </w:rPr>
        <w:t xml:space="preserve">Who are the many “defendants” complaining about the system?  What are the concerns of the poor defendants in the “junk justice” debt collection mill, and how might they be addressed? </w:t>
      </w:r>
    </w:p>
    <w:p w:rsidR="00753EA5" w:rsidRDefault="00753EA5" w:rsidP="00D77599">
      <w:pPr>
        <w:spacing w:after="0" w:line="240" w:lineRule="auto"/>
        <w:contextualSpacing/>
        <w:jc w:val="both"/>
        <w:rPr>
          <w:sz w:val="24"/>
          <w:szCs w:val="24"/>
        </w:rPr>
      </w:pPr>
    </w:p>
    <w:p w:rsidR="001A63F9" w:rsidRDefault="00B87BD3" w:rsidP="001A63F9">
      <w:pPr>
        <w:spacing w:after="0" w:line="240" w:lineRule="auto"/>
        <w:ind w:left="720" w:firstLine="60"/>
        <w:contextualSpacing/>
        <w:jc w:val="both"/>
        <w:rPr>
          <w:rFonts w:asciiTheme="minorHAnsi" w:eastAsiaTheme="minorHAnsi" w:hAnsiTheme="minorHAnsi" w:cs="Times New Roman"/>
          <w:sz w:val="24"/>
          <w:szCs w:val="24"/>
        </w:rPr>
      </w:pPr>
      <w:r w:rsidRPr="0007559E">
        <w:rPr>
          <w:rFonts w:asciiTheme="minorHAnsi" w:eastAsiaTheme="minorHAnsi" w:hAnsiTheme="minorHAnsi" w:cs="Times New Roman"/>
          <w:sz w:val="24"/>
          <w:szCs w:val="24"/>
        </w:rPr>
        <w:t xml:space="preserve">U.S. Chamber of Commerce Institute for Legal Reform, </w:t>
      </w:r>
      <w:r w:rsidRPr="0007559E">
        <w:rPr>
          <w:rFonts w:asciiTheme="minorHAnsi" w:eastAsiaTheme="minorHAnsi" w:hAnsiTheme="minorHAnsi" w:cs="Times New Roman"/>
          <w:i/>
          <w:sz w:val="24"/>
          <w:szCs w:val="24"/>
        </w:rPr>
        <w:t>Lawsuit Abuse Impact</w:t>
      </w:r>
      <w:r w:rsidR="00705964">
        <w:rPr>
          <w:rFonts w:asciiTheme="minorHAnsi" w:eastAsiaTheme="minorHAnsi" w:hAnsiTheme="minorHAnsi" w:cs="Times New Roman"/>
          <w:sz w:val="24"/>
          <w:szCs w:val="24"/>
        </w:rPr>
        <w:t>,</w:t>
      </w:r>
    </w:p>
    <w:p w:rsidR="001A63F9" w:rsidRDefault="00C06956" w:rsidP="00BF31B4">
      <w:pPr>
        <w:spacing w:after="0" w:line="240" w:lineRule="auto"/>
        <w:ind w:left="720" w:firstLine="720"/>
        <w:contextualSpacing/>
        <w:jc w:val="both"/>
        <w:rPr>
          <w:rFonts w:asciiTheme="minorHAnsi" w:eastAsiaTheme="minorHAnsi" w:hAnsiTheme="minorHAnsi" w:cs="Times New Roman"/>
          <w:sz w:val="24"/>
          <w:szCs w:val="24"/>
        </w:rPr>
      </w:pPr>
      <w:hyperlink r:id="rId15" w:history="1">
        <w:r w:rsidR="00B87BD3" w:rsidRPr="00C806FD">
          <w:rPr>
            <w:rStyle w:val="Hyperlink"/>
            <w:rFonts w:asciiTheme="minorHAnsi" w:eastAsiaTheme="minorHAnsi" w:hAnsiTheme="minorHAnsi"/>
            <w:sz w:val="24"/>
            <w:szCs w:val="24"/>
          </w:rPr>
          <w:t>http://www.</w:t>
        </w:r>
        <w:r w:rsidR="00B87BD3" w:rsidRPr="00C806FD">
          <w:rPr>
            <w:rStyle w:val="Hyperlink"/>
            <w:rFonts w:asciiTheme="minorHAnsi" w:hAnsiTheme="minorHAnsi" w:cs="Calibri"/>
            <w:bCs/>
            <w:sz w:val="24"/>
            <w:szCs w:val="24"/>
          </w:rPr>
          <w:t>instituteforlegalreform</w:t>
        </w:r>
        <w:r w:rsidR="00B87BD3" w:rsidRPr="00C806FD">
          <w:rPr>
            <w:rStyle w:val="Hyperlink"/>
            <w:rFonts w:asciiTheme="minorHAnsi" w:eastAsiaTheme="minorHAnsi" w:hAnsiTheme="minorHAnsi"/>
            <w:sz w:val="24"/>
            <w:szCs w:val="24"/>
          </w:rPr>
          <w:t>.com/issues/lawsuit-abuse-impact</w:t>
        </w:r>
      </w:hyperlink>
      <w:r w:rsidR="00B87BD3" w:rsidRPr="0007559E">
        <w:rPr>
          <w:rFonts w:asciiTheme="minorHAnsi" w:eastAsiaTheme="minorHAnsi" w:hAnsiTheme="minorHAnsi" w:cs="Times New Roman"/>
          <w:sz w:val="24"/>
          <w:szCs w:val="24"/>
        </w:rPr>
        <w:t>.</w:t>
      </w:r>
    </w:p>
    <w:p w:rsidR="001A63F9" w:rsidRDefault="001A63F9" w:rsidP="00676225">
      <w:pPr>
        <w:spacing w:after="0" w:line="240" w:lineRule="auto"/>
        <w:contextualSpacing/>
        <w:jc w:val="both"/>
        <w:rPr>
          <w:rFonts w:asciiTheme="minorHAnsi" w:eastAsiaTheme="minorHAnsi" w:hAnsiTheme="minorHAnsi" w:cs="Times New Roman"/>
          <w:sz w:val="24"/>
          <w:szCs w:val="24"/>
        </w:rPr>
      </w:pPr>
    </w:p>
    <w:p w:rsidR="00BF31B4" w:rsidRDefault="00B87BD3" w:rsidP="00BF31B4">
      <w:pPr>
        <w:spacing w:after="0" w:line="240" w:lineRule="auto"/>
        <w:ind w:left="720"/>
        <w:contextualSpacing/>
        <w:jc w:val="both"/>
        <w:rPr>
          <w:rFonts w:asciiTheme="minorHAnsi" w:eastAsiaTheme="minorHAnsi" w:hAnsiTheme="minorHAnsi" w:cs="Times New Roman"/>
          <w:sz w:val="24"/>
          <w:szCs w:val="24"/>
        </w:rPr>
      </w:pPr>
      <w:r w:rsidRPr="0007559E">
        <w:rPr>
          <w:rFonts w:asciiTheme="minorHAnsi" w:eastAsiaTheme="minorHAnsi" w:hAnsiTheme="minorHAnsi" w:cs="Times New Roman"/>
          <w:sz w:val="24"/>
          <w:szCs w:val="24"/>
        </w:rPr>
        <w:t xml:space="preserve">American Tort Reform Association, </w:t>
      </w:r>
      <w:r w:rsidRPr="0007559E">
        <w:rPr>
          <w:rFonts w:asciiTheme="minorHAnsi" w:eastAsiaTheme="minorHAnsi" w:hAnsiTheme="minorHAnsi" w:cs="Times New Roman"/>
          <w:i/>
          <w:sz w:val="24"/>
          <w:szCs w:val="24"/>
        </w:rPr>
        <w:t>Judicial Hellholes 2013-14</w:t>
      </w:r>
      <w:r w:rsidR="001A63F9">
        <w:rPr>
          <w:rFonts w:asciiTheme="minorHAnsi" w:eastAsiaTheme="minorHAnsi" w:hAnsiTheme="minorHAnsi" w:cs="Times New Roman"/>
          <w:sz w:val="24"/>
          <w:szCs w:val="24"/>
        </w:rPr>
        <w:t xml:space="preserve">, </w:t>
      </w:r>
    </w:p>
    <w:p w:rsidR="004B6640" w:rsidRDefault="00C06956" w:rsidP="00BF31B4">
      <w:pPr>
        <w:spacing w:after="0" w:line="240" w:lineRule="auto"/>
        <w:ind w:left="1440"/>
        <w:contextualSpacing/>
        <w:jc w:val="both"/>
        <w:rPr>
          <w:rFonts w:asciiTheme="minorHAnsi" w:eastAsiaTheme="minorHAnsi" w:hAnsiTheme="minorHAnsi" w:cs="Times New Roman"/>
          <w:sz w:val="24"/>
          <w:szCs w:val="24"/>
        </w:rPr>
      </w:pPr>
      <w:hyperlink r:id="rId16" w:history="1">
        <w:r w:rsidR="00BF31B4" w:rsidRPr="00DB03EF">
          <w:rPr>
            <w:rStyle w:val="Hyperlink"/>
            <w:rFonts w:asciiTheme="minorHAnsi" w:eastAsiaTheme="minorHAnsi" w:hAnsiTheme="minorHAnsi"/>
            <w:sz w:val="24"/>
            <w:szCs w:val="24"/>
          </w:rPr>
          <w:t>http://</w:t>
        </w:r>
        <w:r w:rsidR="00BF31B4" w:rsidRPr="00DB03EF">
          <w:rPr>
            <w:rStyle w:val="Hyperlink"/>
            <w:rFonts w:asciiTheme="minorHAnsi" w:hAnsiTheme="minorHAnsi" w:cs="Calibri"/>
            <w:bCs/>
            <w:sz w:val="24"/>
            <w:szCs w:val="24"/>
          </w:rPr>
          <w:t>www</w:t>
        </w:r>
        <w:r w:rsidR="00BF31B4" w:rsidRPr="00DB03EF">
          <w:rPr>
            <w:rStyle w:val="Hyperlink"/>
            <w:rFonts w:asciiTheme="minorHAnsi" w:eastAsiaTheme="minorHAnsi" w:hAnsiTheme="minorHAnsi"/>
            <w:sz w:val="24"/>
            <w:szCs w:val="24"/>
          </w:rPr>
          <w:t>.judicialhellholes.org/wpcontent/uploads/2013/12/JudicialHellholes-2013.pdf</w:t>
        </w:r>
      </w:hyperlink>
    </w:p>
    <w:p w:rsidR="001A63F9" w:rsidRDefault="001A63F9" w:rsidP="001A63F9">
      <w:pPr>
        <w:spacing w:after="0" w:line="240" w:lineRule="auto"/>
        <w:contextualSpacing/>
        <w:rPr>
          <w:rFonts w:asciiTheme="minorHAnsi" w:eastAsiaTheme="minorHAnsi" w:hAnsiTheme="minorHAnsi" w:cs="Times New Roman"/>
          <w:sz w:val="24"/>
          <w:szCs w:val="24"/>
        </w:rPr>
      </w:pPr>
    </w:p>
    <w:p w:rsidR="0088228C" w:rsidRPr="0088228C" w:rsidRDefault="0088228C" w:rsidP="0088228C">
      <w:pPr>
        <w:spacing w:after="0" w:line="240" w:lineRule="auto"/>
        <w:ind w:left="720"/>
        <w:contextualSpacing/>
        <w:rPr>
          <w:rFonts w:asciiTheme="minorHAnsi" w:eastAsiaTheme="minorHAnsi" w:hAnsiTheme="minorHAnsi" w:cs="Times New Roman"/>
          <w:i/>
          <w:sz w:val="24"/>
          <w:szCs w:val="24"/>
        </w:rPr>
      </w:pPr>
      <w:r>
        <w:rPr>
          <w:rFonts w:asciiTheme="minorHAnsi" w:eastAsiaTheme="minorHAnsi" w:hAnsiTheme="minorHAnsi" w:cs="Times New Roman"/>
          <w:sz w:val="24"/>
          <w:szCs w:val="24"/>
        </w:rPr>
        <w:t xml:space="preserve">Elizabeth G. Thornburg, Judicial Hellholes, </w:t>
      </w:r>
      <w:r w:rsidRPr="0088228C">
        <w:rPr>
          <w:rFonts w:asciiTheme="minorHAnsi" w:eastAsiaTheme="minorHAnsi" w:hAnsiTheme="minorHAnsi" w:cs="Times New Roman"/>
          <w:i/>
          <w:sz w:val="24"/>
          <w:szCs w:val="24"/>
        </w:rPr>
        <w:t>Lawsuit Cli</w:t>
      </w:r>
      <w:r w:rsidR="00705964">
        <w:rPr>
          <w:rFonts w:asciiTheme="minorHAnsi" w:eastAsiaTheme="minorHAnsi" w:hAnsiTheme="minorHAnsi" w:cs="Times New Roman"/>
          <w:i/>
          <w:sz w:val="24"/>
          <w:szCs w:val="24"/>
        </w:rPr>
        <w:t>mates, and Bad Social Science:</w:t>
      </w:r>
    </w:p>
    <w:p w:rsidR="0088228C" w:rsidRDefault="0088228C" w:rsidP="00BF31B4">
      <w:pPr>
        <w:spacing w:after="0" w:line="240" w:lineRule="auto"/>
        <w:ind w:left="720" w:firstLine="720"/>
        <w:contextualSpacing/>
        <w:rPr>
          <w:rFonts w:asciiTheme="minorHAnsi" w:eastAsiaTheme="minorHAnsi" w:hAnsiTheme="minorHAnsi" w:cs="Times New Roman"/>
          <w:sz w:val="24"/>
          <w:szCs w:val="24"/>
        </w:rPr>
      </w:pPr>
      <w:r w:rsidRPr="0088228C">
        <w:rPr>
          <w:rFonts w:asciiTheme="minorHAnsi" w:eastAsiaTheme="minorHAnsi" w:hAnsiTheme="minorHAnsi" w:cs="Times New Roman"/>
          <w:i/>
          <w:sz w:val="24"/>
          <w:szCs w:val="24"/>
        </w:rPr>
        <w:t>Lessons from West Virginia</w:t>
      </w:r>
      <w:r>
        <w:rPr>
          <w:rFonts w:asciiTheme="minorHAnsi" w:eastAsiaTheme="minorHAnsi" w:hAnsiTheme="minorHAnsi" w:cs="Times New Roman"/>
          <w:sz w:val="24"/>
          <w:szCs w:val="24"/>
        </w:rPr>
        <w:t>, 10 W. Va. L. Rev. 1097 (2008)</w:t>
      </w:r>
    </w:p>
    <w:p w:rsidR="0088228C" w:rsidRDefault="0088228C" w:rsidP="001A63F9">
      <w:pPr>
        <w:spacing w:after="0" w:line="240" w:lineRule="auto"/>
        <w:contextualSpacing/>
        <w:rPr>
          <w:rFonts w:asciiTheme="minorHAnsi" w:eastAsiaTheme="minorHAnsi" w:hAnsiTheme="minorHAnsi" w:cs="Times New Roman"/>
          <w:sz w:val="24"/>
          <w:szCs w:val="24"/>
        </w:rPr>
      </w:pPr>
    </w:p>
    <w:p w:rsidR="00BF31B4" w:rsidRDefault="00B87BD3" w:rsidP="00BF31B4">
      <w:pPr>
        <w:spacing w:after="0" w:line="240" w:lineRule="auto"/>
        <w:ind w:left="720"/>
        <w:contextualSpacing/>
        <w:rPr>
          <w:bCs/>
          <w:i/>
          <w:sz w:val="24"/>
          <w:szCs w:val="24"/>
        </w:rPr>
      </w:pPr>
      <w:r w:rsidRPr="003A40F5">
        <w:rPr>
          <w:bCs/>
          <w:sz w:val="24"/>
          <w:szCs w:val="24"/>
        </w:rPr>
        <w:t xml:space="preserve">Mayer Brown LLP, </w:t>
      </w:r>
      <w:r w:rsidRPr="003A40F5">
        <w:rPr>
          <w:bCs/>
          <w:i/>
          <w:sz w:val="24"/>
          <w:szCs w:val="24"/>
        </w:rPr>
        <w:t>Do Class Actions Benefit Class Mem</w:t>
      </w:r>
      <w:r w:rsidR="001A63F9">
        <w:rPr>
          <w:bCs/>
          <w:i/>
          <w:sz w:val="24"/>
          <w:szCs w:val="24"/>
        </w:rPr>
        <w:t xml:space="preserve">bers?: </w:t>
      </w:r>
      <w:r w:rsidR="00AB7CCA">
        <w:rPr>
          <w:bCs/>
          <w:i/>
          <w:sz w:val="24"/>
          <w:szCs w:val="24"/>
        </w:rPr>
        <w:t xml:space="preserve"> </w:t>
      </w:r>
      <w:r w:rsidR="001A63F9">
        <w:rPr>
          <w:bCs/>
          <w:i/>
          <w:sz w:val="24"/>
          <w:szCs w:val="24"/>
        </w:rPr>
        <w:t xml:space="preserve">An Empirical Analysis of </w:t>
      </w:r>
    </w:p>
    <w:p w:rsidR="00705964" w:rsidRDefault="00B87BD3" w:rsidP="00BF31B4">
      <w:pPr>
        <w:spacing w:after="0" w:line="240" w:lineRule="auto"/>
        <w:ind w:left="1440"/>
        <w:contextualSpacing/>
        <w:rPr>
          <w:bCs/>
          <w:sz w:val="24"/>
          <w:szCs w:val="24"/>
        </w:rPr>
      </w:pPr>
      <w:r w:rsidRPr="003A40F5">
        <w:rPr>
          <w:bCs/>
          <w:i/>
          <w:sz w:val="24"/>
          <w:szCs w:val="24"/>
        </w:rPr>
        <w:t>Class Actions</w:t>
      </w:r>
      <w:r w:rsidR="00705964">
        <w:rPr>
          <w:bCs/>
          <w:sz w:val="24"/>
          <w:szCs w:val="24"/>
        </w:rPr>
        <w:t>,</w:t>
      </w:r>
    </w:p>
    <w:p w:rsidR="00B87BD3" w:rsidRPr="00BF31B4" w:rsidRDefault="00B87BD3" w:rsidP="00BF31B4">
      <w:pPr>
        <w:spacing w:after="0" w:line="240" w:lineRule="auto"/>
        <w:ind w:left="1440"/>
        <w:contextualSpacing/>
        <w:rPr>
          <w:bCs/>
          <w:sz w:val="24"/>
          <w:szCs w:val="24"/>
        </w:rPr>
      </w:pPr>
      <w:r w:rsidRPr="003A40F5">
        <w:rPr>
          <w:bCs/>
          <w:sz w:val="24"/>
          <w:szCs w:val="24"/>
        </w:rPr>
        <w:t>http://blogs.reuters.com/alisonfrankel/files/2013/12/mayerbrownclassactionstudy.pdf</w:t>
      </w:r>
    </w:p>
    <w:p w:rsidR="004B6640" w:rsidRDefault="004B6640" w:rsidP="00676225">
      <w:pPr>
        <w:spacing w:after="0" w:line="240" w:lineRule="auto"/>
        <w:contextualSpacing/>
        <w:jc w:val="both"/>
        <w:rPr>
          <w:rFonts w:asciiTheme="minorHAnsi" w:hAnsiTheme="minorHAnsi"/>
          <w:sz w:val="24"/>
          <w:szCs w:val="24"/>
        </w:rPr>
      </w:pPr>
    </w:p>
    <w:p w:rsidR="00232892" w:rsidRDefault="006F1CA6" w:rsidP="00232892">
      <w:pPr>
        <w:spacing w:after="0" w:line="240" w:lineRule="auto"/>
        <w:ind w:left="720"/>
        <w:rPr>
          <w:rFonts w:asciiTheme="minorHAnsi" w:hAnsiTheme="minorHAnsi"/>
          <w:bCs/>
          <w:i/>
          <w:sz w:val="24"/>
          <w:szCs w:val="24"/>
        </w:rPr>
      </w:pPr>
      <w:r w:rsidRPr="0007559E">
        <w:rPr>
          <w:rFonts w:asciiTheme="minorHAnsi" w:hAnsiTheme="minorHAnsi"/>
          <w:bCs/>
          <w:sz w:val="24"/>
          <w:szCs w:val="24"/>
        </w:rPr>
        <w:lastRenderedPageBreak/>
        <w:t xml:space="preserve">Peter A. Holland, </w:t>
      </w:r>
      <w:r w:rsidRPr="0007559E">
        <w:rPr>
          <w:rFonts w:asciiTheme="minorHAnsi" w:hAnsiTheme="minorHAnsi"/>
          <w:bCs/>
          <w:i/>
          <w:sz w:val="24"/>
          <w:szCs w:val="24"/>
        </w:rPr>
        <w:t xml:space="preserve">Junk Justice: A Statistical Analysis </w:t>
      </w:r>
      <w:r w:rsidR="00705964">
        <w:rPr>
          <w:rFonts w:asciiTheme="minorHAnsi" w:hAnsiTheme="minorHAnsi"/>
          <w:bCs/>
          <w:i/>
          <w:sz w:val="24"/>
          <w:szCs w:val="24"/>
        </w:rPr>
        <w:t>of 4,400 Lawsuits Filed by Debt</w:t>
      </w:r>
    </w:p>
    <w:p w:rsidR="006F1CA6" w:rsidRPr="0007559E" w:rsidRDefault="00232892" w:rsidP="00232892">
      <w:pPr>
        <w:spacing w:after="0" w:line="240" w:lineRule="auto"/>
        <w:ind w:left="720"/>
        <w:rPr>
          <w:rFonts w:asciiTheme="minorHAnsi" w:hAnsiTheme="minorHAnsi"/>
          <w:bCs/>
          <w:sz w:val="24"/>
          <w:szCs w:val="24"/>
        </w:rPr>
      </w:pPr>
      <w:r>
        <w:rPr>
          <w:rFonts w:asciiTheme="minorHAnsi" w:hAnsiTheme="minorHAnsi"/>
          <w:bCs/>
          <w:i/>
          <w:sz w:val="24"/>
          <w:szCs w:val="24"/>
        </w:rPr>
        <w:t xml:space="preserve">      </w:t>
      </w:r>
      <w:r w:rsidR="00BF31B4">
        <w:rPr>
          <w:rFonts w:asciiTheme="minorHAnsi" w:hAnsiTheme="minorHAnsi"/>
          <w:bCs/>
          <w:i/>
          <w:sz w:val="24"/>
          <w:szCs w:val="24"/>
        </w:rPr>
        <w:tab/>
      </w:r>
      <w:r w:rsidR="006F1CA6" w:rsidRPr="0007559E">
        <w:rPr>
          <w:rFonts w:asciiTheme="minorHAnsi" w:hAnsiTheme="minorHAnsi"/>
          <w:bCs/>
          <w:i/>
          <w:sz w:val="24"/>
          <w:szCs w:val="24"/>
        </w:rPr>
        <w:t>Buyers</w:t>
      </w:r>
      <w:r w:rsidR="006F1CA6" w:rsidRPr="0007559E">
        <w:rPr>
          <w:rFonts w:asciiTheme="minorHAnsi" w:hAnsiTheme="minorHAnsi"/>
          <w:bCs/>
          <w:sz w:val="24"/>
          <w:szCs w:val="24"/>
        </w:rPr>
        <w:t xml:space="preserve">, </w:t>
      </w:r>
      <w:r w:rsidR="006F1CA6" w:rsidRPr="0007559E">
        <w:rPr>
          <w:rFonts w:asciiTheme="minorHAnsi" w:hAnsiTheme="minorHAnsi"/>
          <w:bCs/>
          <w:smallCaps/>
          <w:sz w:val="24"/>
          <w:szCs w:val="24"/>
        </w:rPr>
        <w:t xml:space="preserve">26 </w:t>
      </w:r>
      <w:r w:rsidR="006F1CA6" w:rsidRPr="001A63F9">
        <w:rPr>
          <w:rFonts w:asciiTheme="minorHAnsi" w:hAnsiTheme="minorHAnsi"/>
          <w:bCs/>
          <w:sz w:val="24"/>
          <w:szCs w:val="24"/>
        </w:rPr>
        <w:t>Loyola Consumer L. Rev</w:t>
      </w:r>
      <w:r w:rsidR="006F1CA6" w:rsidRPr="0007559E">
        <w:rPr>
          <w:rFonts w:asciiTheme="minorHAnsi" w:hAnsiTheme="minorHAnsi"/>
          <w:bCs/>
          <w:sz w:val="24"/>
          <w:szCs w:val="24"/>
        </w:rPr>
        <w:t>. 179 (2014)</w:t>
      </w:r>
    </w:p>
    <w:p w:rsidR="006F1CA6" w:rsidRDefault="006F1CA6" w:rsidP="00676225">
      <w:pPr>
        <w:spacing w:after="0" w:line="240" w:lineRule="auto"/>
        <w:contextualSpacing/>
        <w:jc w:val="both"/>
        <w:rPr>
          <w:rFonts w:asciiTheme="minorHAnsi" w:hAnsiTheme="minorHAnsi"/>
          <w:sz w:val="24"/>
          <w:szCs w:val="24"/>
        </w:rPr>
      </w:pPr>
    </w:p>
    <w:p w:rsidR="00232892" w:rsidRDefault="00B87BD3" w:rsidP="00232892">
      <w:pPr>
        <w:spacing w:after="0" w:line="240" w:lineRule="auto"/>
        <w:ind w:left="720"/>
        <w:contextualSpacing/>
        <w:jc w:val="both"/>
        <w:rPr>
          <w:rFonts w:asciiTheme="minorHAnsi" w:hAnsiTheme="minorHAnsi"/>
          <w:sz w:val="24"/>
          <w:szCs w:val="24"/>
        </w:rPr>
      </w:pPr>
      <w:r w:rsidRPr="0007559E">
        <w:rPr>
          <w:rFonts w:asciiTheme="minorHAnsi" w:hAnsiTheme="minorHAnsi"/>
          <w:sz w:val="24"/>
          <w:szCs w:val="24"/>
        </w:rPr>
        <w:t xml:space="preserve">Stephen B. Burbank &amp; Sean Farhang, </w:t>
      </w:r>
      <w:r w:rsidRPr="0007559E">
        <w:rPr>
          <w:rFonts w:asciiTheme="minorHAnsi" w:hAnsiTheme="minorHAnsi"/>
          <w:i/>
          <w:sz w:val="24"/>
          <w:szCs w:val="24"/>
        </w:rPr>
        <w:t>Litigation Reform: An Institutional Approach</w:t>
      </w:r>
      <w:r w:rsidR="00705964">
        <w:rPr>
          <w:rFonts w:asciiTheme="minorHAnsi" w:hAnsiTheme="minorHAnsi"/>
          <w:sz w:val="24"/>
          <w:szCs w:val="24"/>
        </w:rPr>
        <w:t>, 162</w:t>
      </w:r>
    </w:p>
    <w:p w:rsidR="00B87BD3" w:rsidRPr="0007559E" w:rsidRDefault="00F847CD" w:rsidP="00232892">
      <w:pPr>
        <w:spacing w:after="0" w:line="240" w:lineRule="auto"/>
        <w:ind w:left="720"/>
        <w:contextualSpacing/>
        <w:jc w:val="both"/>
        <w:rPr>
          <w:rFonts w:asciiTheme="minorHAnsi" w:hAnsiTheme="minorHAnsi"/>
          <w:b/>
          <w:sz w:val="24"/>
          <w:szCs w:val="24"/>
        </w:rPr>
      </w:pPr>
      <w:r>
        <w:rPr>
          <w:rFonts w:asciiTheme="minorHAnsi" w:hAnsiTheme="minorHAnsi"/>
          <w:sz w:val="24"/>
          <w:szCs w:val="24"/>
        </w:rPr>
        <w:t xml:space="preserve">      </w:t>
      </w:r>
      <w:r w:rsidR="00BF31B4">
        <w:rPr>
          <w:rFonts w:asciiTheme="minorHAnsi" w:hAnsiTheme="minorHAnsi"/>
          <w:sz w:val="24"/>
          <w:szCs w:val="24"/>
        </w:rPr>
        <w:tab/>
      </w:r>
      <w:r w:rsidR="00B87BD3" w:rsidRPr="00232892">
        <w:rPr>
          <w:rFonts w:asciiTheme="minorHAnsi" w:hAnsiTheme="minorHAnsi"/>
          <w:sz w:val="24"/>
          <w:szCs w:val="24"/>
        </w:rPr>
        <w:t>U. Penn. L. Rev.</w:t>
      </w:r>
      <w:r w:rsidR="00B87BD3" w:rsidRPr="0007559E">
        <w:rPr>
          <w:rFonts w:asciiTheme="minorHAnsi" w:hAnsiTheme="minorHAnsi"/>
          <w:smallCaps/>
          <w:sz w:val="24"/>
          <w:szCs w:val="24"/>
        </w:rPr>
        <w:t xml:space="preserve"> 1543 (2014)</w:t>
      </w:r>
      <w:r w:rsidR="00753EA5">
        <w:rPr>
          <w:rFonts w:asciiTheme="minorHAnsi" w:hAnsiTheme="minorHAnsi"/>
          <w:smallCaps/>
          <w:sz w:val="24"/>
          <w:szCs w:val="24"/>
        </w:rPr>
        <w:t xml:space="preserve"> (skim)</w:t>
      </w:r>
    </w:p>
    <w:p w:rsidR="00B87BD3" w:rsidRPr="006F1CA6" w:rsidRDefault="00B87BD3" w:rsidP="00676225">
      <w:pPr>
        <w:spacing w:after="0" w:line="240" w:lineRule="auto"/>
        <w:contextualSpacing/>
        <w:jc w:val="both"/>
        <w:rPr>
          <w:rFonts w:asciiTheme="minorHAnsi" w:hAnsiTheme="minorHAnsi"/>
          <w:sz w:val="24"/>
          <w:szCs w:val="24"/>
        </w:rPr>
      </w:pPr>
    </w:p>
    <w:p w:rsidR="00AB7CCA" w:rsidRDefault="00AB7CCA" w:rsidP="00AB7CCA">
      <w:pPr>
        <w:spacing w:after="0" w:line="240" w:lineRule="auto"/>
        <w:ind w:left="1440" w:hanging="720"/>
        <w:contextualSpacing/>
        <w:rPr>
          <w:rFonts w:eastAsiaTheme="minorHAnsi" w:cs="Times New Roman"/>
          <w:sz w:val="24"/>
          <w:szCs w:val="24"/>
        </w:rPr>
      </w:pPr>
      <w:r w:rsidRPr="00AB7CCA">
        <w:rPr>
          <w:rFonts w:asciiTheme="minorHAnsi" w:hAnsiTheme="minorHAnsi"/>
          <w:sz w:val="24"/>
          <w:szCs w:val="24"/>
        </w:rPr>
        <w:tab/>
        <w:t>Optional</w:t>
      </w:r>
      <w:r>
        <w:rPr>
          <w:rFonts w:eastAsiaTheme="minorHAnsi" w:cs="Times New Roman"/>
          <w:sz w:val="24"/>
          <w:szCs w:val="24"/>
        </w:rPr>
        <w:t xml:space="preserve">:  </w:t>
      </w:r>
    </w:p>
    <w:p w:rsidR="00BF31B4" w:rsidRDefault="00AB7CCA" w:rsidP="00BF31B4">
      <w:pPr>
        <w:spacing w:after="0" w:line="240" w:lineRule="auto"/>
        <w:ind w:left="2160"/>
        <w:contextualSpacing/>
        <w:jc w:val="both"/>
        <w:rPr>
          <w:rFonts w:asciiTheme="minorHAnsi" w:hAnsiTheme="minorHAnsi"/>
          <w:sz w:val="24"/>
          <w:szCs w:val="24"/>
        </w:rPr>
      </w:pPr>
      <w:r>
        <w:rPr>
          <w:rFonts w:asciiTheme="minorHAnsi" w:hAnsiTheme="minorHAnsi"/>
          <w:sz w:val="24"/>
          <w:szCs w:val="24"/>
        </w:rPr>
        <w:t xml:space="preserve">Lawyers for Civil Justice, Comment to </w:t>
      </w:r>
      <w:r w:rsidR="00705964">
        <w:rPr>
          <w:rFonts w:asciiTheme="minorHAnsi" w:hAnsiTheme="minorHAnsi"/>
          <w:sz w:val="24"/>
          <w:szCs w:val="24"/>
        </w:rPr>
        <w:t>the Advisory Committee on Civil</w:t>
      </w:r>
    </w:p>
    <w:p w:rsidR="00AB7CCA" w:rsidRDefault="00AB7CCA" w:rsidP="00BF31B4">
      <w:pPr>
        <w:spacing w:after="0" w:line="240" w:lineRule="auto"/>
        <w:ind w:left="2880"/>
        <w:contextualSpacing/>
        <w:jc w:val="both"/>
        <w:rPr>
          <w:rFonts w:asciiTheme="minorHAnsi" w:hAnsiTheme="minorHAnsi"/>
          <w:sz w:val="24"/>
          <w:szCs w:val="24"/>
        </w:rPr>
      </w:pPr>
      <w:r>
        <w:rPr>
          <w:rFonts w:asciiTheme="minorHAnsi" w:hAnsiTheme="minorHAnsi"/>
          <w:sz w:val="24"/>
          <w:szCs w:val="24"/>
        </w:rPr>
        <w:t>Rules and its Rule 23 Subcommittee, “Repairing the Disconnect Between Class Actions and Class Members: Why Rules Governing “No Injury” Cases, Certification Standards for Issue Classes, and Notice Need Reform (Aug. 13, 2014).</w:t>
      </w:r>
    </w:p>
    <w:p w:rsidR="00AB7CCA" w:rsidRPr="006F1CA6" w:rsidRDefault="00AB7CCA" w:rsidP="00676225">
      <w:pPr>
        <w:spacing w:after="0" w:line="240" w:lineRule="auto"/>
        <w:contextualSpacing/>
        <w:jc w:val="both"/>
        <w:rPr>
          <w:rFonts w:asciiTheme="minorHAnsi" w:hAnsiTheme="minorHAnsi"/>
          <w:sz w:val="24"/>
          <w:szCs w:val="24"/>
        </w:rPr>
      </w:pPr>
    </w:p>
    <w:p w:rsidR="00BF31B4" w:rsidRDefault="00AB7CCA" w:rsidP="00BF31B4">
      <w:pPr>
        <w:spacing w:after="0" w:line="240" w:lineRule="auto"/>
        <w:ind w:left="2160"/>
        <w:contextualSpacing/>
        <w:rPr>
          <w:rFonts w:eastAsiaTheme="minorHAnsi" w:cs="Times New Roman"/>
          <w:i/>
          <w:sz w:val="24"/>
          <w:szCs w:val="24"/>
        </w:rPr>
      </w:pPr>
      <w:r w:rsidRPr="003A40F5">
        <w:rPr>
          <w:rFonts w:eastAsiaTheme="minorHAnsi" w:cs="Times New Roman"/>
          <w:sz w:val="24"/>
          <w:szCs w:val="24"/>
        </w:rPr>
        <w:t xml:space="preserve">Marc Galanter, </w:t>
      </w:r>
      <w:r w:rsidRPr="003A40F5">
        <w:rPr>
          <w:rFonts w:eastAsiaTheme="minorHAnsi" w:cs="Times New Roman"/>
          <w:i/>
          <w:sz w:val="24"/>
          <w:szCs w:val="24"/>
        </w:rPr>
        <w:t>An Oil Strike in Hell: Co</w:t>
      </w:r>
      <w:r w:rsidR="00705964">
        <w:rPr>
          <w:rFonts w:eastAsiaTheme="minorHAnsi" w:cs="Times New Roman"/>
          <w:i/>
          <w:sz w:val="24"/>
          <w:szCs w:val="24"/>
        </w:rPr>
        <w:t>ntemporary Legends in the Civil</w:t>
      </w:r>
    </w:p>
    <w:p w:rsidR="00AB7CCA" w:rsidRPr="000F027A" w:rsidRDefault="00AB7CCA" w:rsidP="00BF31B4">
      <w:pPr>
        <w:spacing w:after="0" w:line="240" w:lineRule="auto"/>
        <w:ind w:left="2160" w:firstLine="720"/>
        <w:contextualSpacing/>
        <w:rPr>
          <w:rFonts w:eastAsiaTheme="minorHAnsi" w:cs="Times New Roman"/>
          <w:sz w:val="24"/>
          <w:szCs w:val="24"/>
        </w:rPr>
      </w:pPr>
      <w:r w:rsidRPr="003A40F5">
        <w:rPr>
          <w:rFonts w:eastAsiaTheme="minorHAnsi" w:cs="Times New Roman"/>
          <w:i/>
          <w:sz w:val="24"/>
          <w:szCs w:val="24"/>
        </w:rPr>
        <w:t>Justice System</w:t>
      </w:r>
      <w:r>
        <w:rPr>
          <w:rFonts w:eastAsiaTheme="minorHAnsi" w:cs="Times New Roman"/>
          <w:sz w:val="24"/>
          <w:szCs w:val="24"/>
        </w:rPr>
        <w:t xml:space="preserve">, 40 </w:t>
      </w:r>
      <w:r w:rsidRPr="001A63F9">
        <w:rPr>
          <w:rFonts w:eastAsiaTheme="minorHAnsi" w:cs="Times New Roman"/>
          <w:sz w:val="24"/>
          <w:szCs w:val="24"/>
        </w:rPr>
        <w:t>Ariz. L. Rev</w:t>
      </w:r>
      <w:r>
        <w:rPr>
          <w:rFonts w:eastAsiaTheme="minorHAnsi" w:cs="Times New Roman"/>
          <w:sz w:val="24"/>
          <w:szCs w:val="24"/>
        </w:rPr>
        <w:t>.</w:t>
      </w:r>
      <w:r w:rsidRPr="003A40F5">
        <w:rPr>
          <w:rFonts w:eastAsiaTheme="minorHAnsi" w:cs="Times New Roman"/>
          <w:sz w:val="24"/>
          <w:szCs w:val="24"/>
        </w:rPr>
        <w:t>717 (1998)</w:t>
      </w:r>
    </w:p>
    <w:p w:rsidR="00F23B3F" w:rsidRPr="00676225" w:rsidRDefault="00F23B3F" w:rsidP="00676225">
      <w:pPr>
        <w:spacing w:after="0" w:line="240" w:lineRule="auto"/>
        <w:contextualSpacing/>
        <w:jc w:val="both"/>
        <w:rPr>
          <w:rFonts w:asciiTheme="minorHAnsi" w:hAnsiTheme="minorHAnsi"/>
          <w:sz w:val="24"/>
          <w:szCs w:val="24"/>
        </w:rPr>
      </w:pPr>
    </w:p>
    <w:p w:rsidR="00676225" w:rsidRPr="00676225" w:rsidRDefault="00676225" w:rsidP="00676225">
      <w:pPr>
        <w:spacing w:after="0" w:line="240" w:lineRule="auto"/>
        <w:contextualSpacing/>
        <w:jc w:val="both"/>
        <w:rPr>
          <w:rFonts w:asciiTheme="minorHAnsi" w:hAnsiTheme="minorHAnsi"/>
          <w:sz w:val="24"/>
          <w:szCs w:val="24"/>
        </w:rPr>
      </w:pPr>
    </w:p>
    <w:p w:rsidR="001A63F9" w:rsidRPr="00F23B3F" w:rsidRDefault="00F23B3F" w:rsidP="001A63F9">
      <w:pPr>
        <w:spacing w:after="0" w:line="240" w:lineRule="auto"/>
        <w:contextualSpacing/>
        <w:jc w:val="both"/>
        <w:rPr>
          <w:rFonts w:asciiTheme="minorHAnsi" w:hAnsiTheme="minorHAnsi"/>
          <w:b/>
          <w:sz w:val="24"/>
          <w:szCs w:val="24"/>
        </w:rPr>
      </w:pPr>
      <w:r w:rsidRPr="00F23B3F">
        <w:rPr>
          <w:rFonts w:asciiTheme="minorHAnsi" w:hAnsiTheme="minorHAnsi"/>
          <w:b/>
          <w:sz w:val="24"/>
          <w:szCs w:val="24"/>
        </w:rPr>
        <w:t>[</w:t>
      </w:r>
      <w:r w:rsidR="00B87BD3" w:rsidRPr="00F23B3F">
        <w:rPr>
          <w:rFonts w:asciiTheme="minorHAnsi" w:hAnsiTheme="minorHAnsi"/>
          <w:b/>
          <w:sz w:val="24"/>
          <w:szCs w:val="24"/>
        </w:rPr>
        <w:t>April 6</w:t>
      </w:r>
      <w:r w:rsidR="00705964">
        <w:rPr>
          <w:rFonts w:asciiTheme="minorHAnsi" w:hAnsiTheme="minorHAnsi"/>
          <w:b/>
          <w:sz w:val="24"/>
          <w:szCs w:val="24"/>
        </w:rPr>
        <w:t xml:space="preserve">: No Class - </w:t>
      </w:r>
      <w:r w:rsidR="00753C82">
        <w:rPr>
          <w:rFonts w:asciiTheme="minorHAnsi" w:hAnsiTheme="minorHAnsi"/>
          <w:b/>
          <w:sz w:val="24"/>
          <w:szCs w:val="24"/>
        </w:rPr>
        <w:t>Liman-Bernstein</w:t>
      </w:r>
      <w:r w:rsidRPr="00F23B3F">
        <w:rPr>
          <w:rFonts w:asciiTheme="minorHAnsi" w:hAnsiTheme="minorHAnsi"/>
          <w:b/>
          <w:sz w:val="24"/>
          <w:szCs w:val="24"/>
        </w:rPr>
        <w:t xml:space="preserve"> Colloquium</w:t>
      </w:r>
      <w:r>
        <w:rPr>
          <w:rFonts w:asciiTheme="minorHAnsi" w:hAnsiTheme="minorHAnsi"/>
          <w:b/>
          <w:sz w:val="24"/>
          <w:szCs w:val="24"/>
        </w:rPr>
        <w:t xml:space="preserve"> </w:t>
      </w:r>
      <w:r w:rsidR="00753C82">
        <w:rPr>
          <w:rFonts w:asciiTheme="minorHAnsi" w:hAnsiTheme="minorHAnsi"/>
          <w:b/>
          <w:sz w:val="24"/>
          <w:szCs w:val="24"/>
        </w:rPr>
        <w:t xml:space="preserve">on </w:t>
      </w:r>
      <w:r>
        <w:rPr>
          <w:rFonts w:asciiTheme="minorHAnsi" w:hAnsiTheme="minorHAnsi"/>
          <w:b/>
          <w:sz w:val="24"/>
          <w:szCs w:val="24"/>
        </w:rPr>
        <w:t>April 9-10</w:t>
      </w:r>
      <w:r w:rsidRPr="00F23B3F">
        <w:rPr>
          <w:rFonts w:asciiTheme="minorHAnsi" w:hAnsiTheme="minorHAnsi"/>
          <w:b/>
          <w:sz w:val="24"/>
          <w:szCs w:val="24"/>
        </w:rPr>
        <w:t>]</w:t>
      </w:r>
    </w:p>
    <w:p w:rsidR="006F1CA6" w:rsidRPr="00676225" w:rsidRDefault="006F1CA6" w:rsidP="001A63F9">
      <w:pPr>
        <w:spacing w:after="0" w:line="240" w:lineRule="auto"/>
        <w:contextualSpacing/>
        <w:jc w:val="both"/>
        <w:rPr>
          <w:rFonts w:asciiTheme="minorHAnsi" w:hAnsiTheme="minorHAnsi"/>
          <w:b/>
          <w:sz w:val="24"/>
          <w:szCs w:val="24"/>
        </w:rPr>
      </w:pPr>
    </w:p>
    <w:p w:rsidR="00676225" w:rsidRPr="00676225" w:rsidRDefault="00676225" w:rsidP="001A63F9">
      <w:pPr>
        <w:spacing w:after="0" w:line="240" w:lineRule="auto"/>
        <w:contextualSpacing/>
        <w:jc w:val="both"/>
        <w:rPr>
          <w:rFonts w:asciiTheme="minorHAnsi" w:hAnsiTheme="minorHAnsi"/>
          <w:b/>
          <w:sz w:val="24"/>
          <w:szCs w:val="24"/>
        </w:rPr>
      </w:pPr>
    </w:p>
    <w:p w:rsidR="00B87BD3" w:rsidRPr="001A63F9" w:rsidRDefault="00B87BD3" w:rsidP="006F1CA6">
      <w:pPr>
        <w:spacing w:after="0" w:line="240" w:lineRule="auto"/>
        <w:contextualSpacing/>
        <w:jc w:val="both"/>
        <w:rPr>
          <w:rFonts w:asciiTheme="minorHAnsi" w:hAnsiTheme="minorHAnsi"/>
          <w:b/>
          <w:sz w:val="28"/>
          <w:szCs w:val="28"/>
        </w:rPr>
      </w:pPr>
      <w:r w:rsidRPr="001A63F9">
        <w:rPr>
          <w:rFonts w:asciiTheme="minorHAnsi" w:hAnsiTheme="minorHAnsi"/>
          <w:b/>
          <w:sz w:val="28"/>
          <w:szCs w:val="28"/>
        </w:rPr>
        <w:t xml:space="preserve">April 13 </w:t>
      </w:r>
      <w:r w:rsidR="00F847CD">
        <w:rPr>
          <w:rFonts w:asciiTheme="minorHAnsi" w:hAnsiTheme="minorHAnsi"/>
          <w:b/>
          <w:sz w:val="28"/>
          <w:szCs w:val="28"/>
        </w:rPr>
        <w:t>(C</w:t>
      </w:r>
      <w:r w:rsidR="00031C53" w:rsidRPr="001A63F9">
        <w:rPr>
          <w:rFonts w:asciiTheme="minorHAnsi" w:hAnsiTheme="minorHAnsi"/>
          <w:b/>
          <w:sz w:val="28"/>
          <w:szCs w:val="28"/>
        </w:rPr>
        <w:t>lass 10)</w:t>
      </w:r>
      <w:r w:rsidR="001A63F9">
        <w:rPr>
          <w:rFonts w:asciiTheme="minorHAnsi" w:hAnsiTheme="minorHAnsi"/>
          <w:b/>
          <w:sz w:val="28"/>
          <w:szCs w:val="28"/>
        </w:rPr>
        <w:t>:</w:t>
      </w:r>
      <w:r w:rsidRPr="001A63F9">
        <w:rPr>
          <w:rFonts w:asciiTheme="minorHAnsi" w:hAnsiTheme="minorHAnsi"/>
          <w:b/>
          <w:sz w:val="28"/>
          <w:szCs w:val="28"/>
        </w:rPr>
        <w:t xml:space="preserve"> </w:t>
      </w:r>
      <w:r w:rsidR="00767B8F" w:rsidRPr="001A63F9">
        <w:rPr>
          <w:rFonts w:asciiTheme="minorHAnsi" w:hAnsiTheme="minorHAnsi"/>
          <w:b/>
          <w:sz w:val="28"/>
          <w:szCs w:val="28"/>
        </w:rPr>
        <w:t xml:space="preserve"> </w:t>
      </w:r>
      <w:r w:rsidR="00585EFA">
        <w:rPr>
          <w:rFonts w:asciiTheme="minorHAnsi" w:hAnsiTheme="minorHAnsi"/>
          <w:b/>
          <w:sz w:val="28"/>
          <w:szCs w:val="28"/>
        </w:rPr>
        <w:t xml:space="preserve">The Agency of Lawyers: </w:t>
      </w:r>
      <w:r w:rsidR="004D3A15">
        <w:rPr>
          <w:rFonts w:asciiTheme="minorHAnsi" w:hAnsiTheme="minorHAnsi"/>
          <w:b/>
          <w:sz w:val="28"/>
          <w:szCs w:val="28"/>
        </w:rPr>
        <w:t xml:space="preserve">Contesting and Supplying </w:t>
      </w:r>
      <w:r w:rsidR="00705964">
        <w:rPr>
          <w:rFonts w:asciiTheme="minorHAnsi" w:hAnsiTheme="minorHAnsi"/>
          <w:b/>
          <w:sz w:val="28"/>
          <w:szCs w:val="28"/>
        </w:rPr>
        <w:t>Resources</w:t>
      </w:r>
    </w:p>
    <w:p w:rsidR="00C737E2" w:rsidRDefault="006F1CA6" w:rsidP="00C737E2">
      <w:pPr>
        <w:tabs>
          <w:tab w:val="left" w:pos="720"/>
          <w:tab w:val="left" w:pos="1440"/>
        </w:tabs>
        <w:spacing w:after="0" w:line="240" w:lineRule="auto"/>
        <w:contextualSpacing/>
        <w:rPr>
          <w:bCs/>
          <w:sz w:val="24"/>
          <w:szCs w:val="24"/>
        </w:rPr>
      </w:pPr>
      <w:r>
        <w:rPr>
          <w:bCs/>
          <w:sz w:val="24"/>
          <w:szCs w:val="24"/>
        </w:rPr>
        <w:tab/>
      </w:r>
      <w:r w:rsidR="00753EA5">
        <w:rPr>
          <w:bCs/>
          <w:sz w:val="24"/>
          <w:szCs w:val="24"/>
        </w:rPr>
        <w:t xml:space="preserve">What can lawyers do when they believe they are not able to represent their clients adequately? </w:t>
      </w:r>
      <w:r w:rsidR="00705964">
        <w:rPr>
          <w:bCs/>
          <w:sz w:val="24"/>
          <w:szCs w:val="24"/>
        </w:rPr>
        <w:t xml:space="preserve"> </w:t>
      </w:r>
      <w:r w:rsidR="00C737E2">
        <w:rPr>
          <w:bCs/>
          <w:sz w:val="24"/>
          <w:szCs w:val="24"/>
        </w:rPr>
        <w:t xml:space="preserve">How does the </w:t>
      </w:r>
      <w:r>
        <w:rPr>
          <w:bCs/>
          <w:sz w:val="24"/>
          <w:szCs w:val="24"/>
        </w:rPr>
        <w:t xml:space="preserve">structure of the </w:t>
      </w:r>
      <w:r w:rsidR="00C737E2">
        <w:rPr>
          <w:bCs/>
          <w:sz w:val="24"/>
          <w:szCs w:val="24"/>
        </w:rPr>
        <w:t xml:space="preserve">legal market </w:t>
      </w:r>
      <w:r>
        <w:rPr>
          <w:bCs/>
          <w:sz w:val="24"/>
          <w:szCs w:val="24"/>
        </w:rPr>
        <w:t>affect th</w:t>
      </w:r>
      <w:r w:rsidR="00C737E2">
        <w:rPr>
          <w:bCs/>
          <w:sz w:val="24"/>
          <w:szCs w:val="24"/>
        </w:rPr>
        <w:t xml:space="preserve">e </w:t>
      </w:r>
      <w:r w:rsidR="00C737E2" w:rsidRPr="003A40F5">
        <w:rPr>
          <w:bCs/>
          <w:sz w:val="24"/>
          <w:szCs w:val="24"/>
        </w:rPr>
        <w:t xml:space="preserve">rationing </w:t>
      </w:r>
      <w:r w:rsidR="00C737E2">
        <w:rPr>
          <w:bCs/>
          <w:sz w:val="24"/>
          <w:szCs w:val="24"/>
        </w:rPr>
        <w:t xml:space="preserve">of </w:t>
      </w:r>
      <w:r w:rsidR="00C737E2" w:rsidRPr="003A40F5">
        <w:rPr>
          <w:bCs/>
          <w:sz w:val="24"/>
          <w:szCs w:val="24"/>
        </w:rPr>
        <w:t>legal rights</w:t>
      </w:r>
      <w:r w:rsidR="00C737E2">
        <w:rPr>
          <w:bCs/>
          <w:sz w:val="24"/>
          <w:szCs w:val="24"/>
        </w:rPr>
        <w:t xml:space="preserve"> and access to justice</w:t>
      </w:r>
      <w:r w:rsidR="00C737E2" w:rsidRPr="003A40F5">
        <w:rPr>
          <w:bCs/>
          <w:sz w:val="24"/>
          <w:szCs w:val="24"/>
        </w:rPr>
        <w:t xml:space="preserve">? </w:t>
      </w:r>
      <w:r w:rsidR="001A63F9">
        <w:rPr>
          <w:bCs/>
          <w:sz w:val="24"/>
          <w:szCs w:val="24"/>
        </w:rPr>
        <w:t xml:space="preserve"> </w:t>
      </w:r>
      <w:r w:rsidR="00753EA5">
        <w:rPr>
          <w:bCs/>
          <w:sz w:val="24"/>
          <w:szCs w:val="24"/>
        </w:rPr>
        <w:t xml:space="preserve">What </w:t>
      </w:r>
      <w:r w:rsidR="00767B8F">
        <w:rPr>
          <w:bCs/>
          <w:sz w:val="24"/>
          <w:szCs w:val="24"/>
        </w:rPr>
        <w:t xml:space="preserve">incentives </w:t>
      </w:r>
      <w:r w:rsidR="00753EA5">
        <w:rPr>
          <w:bCs/>
          <w:sz w:val="24"/>
          <w:szCs w:val="24"/>
        </w:rPr>
        <w:t xml:space="preserve">are there </w:t>
      </w:r>
      <w:r w:rsidR="00767B8F">
        <w:rPr>
          <w:bCs/>
          <w:sz w:val="24"/>
          <w:szCs w:val="24"/>
        </w:rPr>
        <w:t>f</w:t>
      </w:r>
      <w:r w:rsidR="00705964">
        <w:rPr>
          <w:bCs/>
          <w:sz w:val="24"/>
          <w:szCs w:val="24"/>
        </w:rPr>
        <w:t>or lawyers to provide services?</w:t>
      </w:r>
    </w:p>
    <w:p w:rsidR="00753EA5" w:rsidRDefault="00753EA5" w:rsidP="00C737E2">
      <w:pPr>
        <w:tabs>
          <w:tab w:val="left" w:pos="720"/>
          <w:tab w:val="left" w:pos="1440"/>
        </w:tabs>
        <w:spacing w:after="0" w:line="240" w:lineRule="auto"/>
        <w:contextualSpacing/>
        <w:rPr>
          <w:bCs/>
          <w:sz w:val="24"/>
          <w:szCs w:val="24"/>
        </w:rPr>
      </w:pPr>
    </w:p>
    <w:p w:rsidR="00753EA5" w:rsidRDefault="00C737E2" w:rsidP="00753EA5">
      <w:pPr>
        <w:tabs>
          <w:tab w:val="left" w:pos="720"/>
          <w:tab w:val="left" w:pos="1440"/>
        </w:tabs>
        <w:spacing w:after="0" w:line="240" w:lineRule="auto"/>
        <w:ind w:left="1440" w:hanging="1440"/>
        <w:contextualSpacing/>
        <w:jc w:val="both"/>
        <w:rPr>
          <w:rFonts w:cs="Arial"/>
          <w:sz w:val="24"/>
          <w:szCs w:val="24"/>
        </w:rPr>
      </w:pPr>
      <w:r w:rsidRPr="003A40F5">
        <w:rPr>
          <w:sz w:val="24"/>
          <w:szCs w:val="24"/>
        </w:rPr>
        <w:tab/>
      </w:r>
      <w:r w:rsidR="00753EA5" w:rsidRPr="001A63F9">
        <w:rPr>
          <w:bCs/>
          <w:i/>
          <w:sz w:val="24"/>
          <w:szCs w:val="24"/>
        </w:rPr>
        <w:t>FTC v. Superior Court Trial Lawyers Association</w:t>
      </w:r>
      <w:r w:rsidR="00705964">
        <w:rPr>
          <w:bCs/>
          <w:sz w:val="24"/>
          <w:szCs w:val="24"/>
        </w:rPr>
        <w:t>, 493 U.S. 411 (1990)</w:t>
      </w:r>
    </w:p>
    <w:p w:rsidR="00753EA5" w:rsidRDefault="00753EA5" w:rsidP="00753EA5">
      <w:pPr>
        <w:tabs>
          <w:tab w:val="left" w:pos="720"/>
          <w:tab w:val="left" w:pos="1440"/>
        </w:tabs>
        <w:spacing w:after="0" w:line="240" w:lineRule="auto"/>
        <w:ind w:left="1440" w:hanging="1440"/>
        <w:contextualSpacing/>
        <w:jc w:val="both"/>
        <w:rPr>
          <w:bCs/>
          <w:sz w:val="24"/>
          <w:szCs w:val="24"/>
        </w:rPr>
      </w:pPr>
      <w:r>
        <w:rPr>
          <w:bCs/>
          <w:sz w:val="24"/>
          <w:szCs w:val="24"/>
        </w:rPr>
        <w:tab/>
      </w:r>
    </w:p>
    <w:p w:rsidR="00753EA5" w:rsidRDefault="00753EA5" w:rsidP="00753EA5">
      <w:pPr>
        <w:tabs>
          <w:tab w:val="left" w:pos="720"/>
          <w:tab w:val="left" w:pos="1440"/>
        </w:tabs>
        <w:spacing w:after="0" w:line="240" w:lineRule="auto"/>
        <w:ind w:left="1440" w:hanging="1440"/>
        <w:contextualSpacing/>
        <w:jc w:val="both"/>
        <w:rPr>
          <w:rFonts w:cs="Arial"/>
          <w:sz w:val="24"/>
          <w:szCs w:val="24"/>
        </w:rPr>
      </w:pPr>
      <w:r>
        <w:rPr>
          <w:bCs/>
          <w:sz w:val="24"/>
          <w:szCs w:val="24"/>
        </w:rPr>
        <w:tab/>
      </w:r>
      <w:r w:rsidRPr="007D79AC">
        <w:rPr>
          <w:bCs/>
          <w:i/>
          <w:sz w:val="24"/>
          <w:szCs w:val="24"/>
        </w:rPr>
        <w:t>State ex rel. Missouri Public Defender Comm’n v. Waters</w:t>
      </w:r>
      <w:r w:rsidR="00705964">
        <w:rPr>
          <w:bCs/>
          <w:sz w:val="24"/>
          <w:szCs w:val="24"/>
        </w:rPr>
        <w:t>, 370 S.W.3d 592 (2012)</w:t>
      </w:r>
    </w:p>
    <w:p w:rsidR="00753EA5" w:rsidRDefault="00753EA5" w:rsidP="00753EA5">
      <w:pPr>
        <w:tabs>
          <w:tab w:val="left" w:pos="720"/>
          <w:tab w:val="left" w:pos="1440"/>
        </w:tabs>
        <w:spacing w:after="0" w:line="240" w:lineRule="auto"/>
        <w:ind w:left="1440" w:hanging="1440"/>
        <w:contextualSpacing/>
        <w:jc w:val="both"/>
        <w:rPr>
          <w:rFonts w:cs="Arial"/>
          <w:sz w:val="24"/>
          <w:szCs w:val="24"/>
        </w:rPr>
      </w:pPr>
    </w:p>
    <w:p w:rsidR="006C5546" w:rsidRDefault="00753EA5" w:rsidP="00753EA5">
      <w:pPr>
        <w:tabs>
          <w:tab w:val="left" w:pos="720"/>
          <w:tab w:val="left" w:pos="1440"/>
        </w:tabs>
        <w:spacing w:after="0" w:line="240" w:lineRule="auto"/>
        <w:ind w:left="1440" w:hanging="1440"/>
        <w:contextualSpacing/>
        <w:jc w:val="both"/>
        <w:rPr>
          <w:bCs/>
          <w:sz w:val="24"/>
          <w:szCs w:val="24"/>
        </w:rPr>
      </w:pPr>
      <w:r>
        <w:rPr>
          <w:bCs/>
          <w:i/>
          <w:sz w:val="24"/>
          <w:szCs w:val="24"/>
        </w:rPr>
        <w:tab/>
      </w:r>
      <w:r>
        <w:rPr>
          <w:bCs/>
          <w:sz w:val="24"/>
          <w:szCs w:val="24"/>
        </w:rPr>
        <w:t xml:space="preserve">Pete Brush, </w:t>
      </w:r>
      <w:r w:rsidRPr="007D79AC">
        <w:rPr>
          <w:bCs/>
          <w:i/>
          <w:sz w:val="24"/>
          <w:szCs w:val="24"/>
        </w:rPr>
        <w:t>NY The Likely Loser as Strike Pits Lawyer Against Lawyer</w:t>
      </w:r>
      <w:r w:rsidR="006C5546">
        <w:rPr>
          <w:bCs/>
          <w:sz w:val="24"/>
          <w:szCs w:val="24"/>
        </w:rPr>
        <w:t>, May 15, 2013,</w:t>
      </w:r>
    </w:p>
    <w:p w:rsidR="00753EA5" w:rsidRDefault="006C5546" w:rsidP="00BF31B4">
      <w:pPr>
        <w:tabs>
          <w:tab w:val="left" w:pos="720"/>
          <w:tab w:val="left" w:pos="1440"/>
        </w:tabs>
        <w:spacing w:after="0" w:line="240" w:lineRule="auto"/>
        <w:ind w:left="1440" w:hanging="1440"/>
        <w:contextualSpacing/>
        <w:jc w:val="both"/>
        <w:rPr>
          <w:bCs/>
          <w:sz w:val="24"/>
          <w:szCs w:val="24"/>
        </w:rPr>
      </w:pPr>
      <w:r>
        <w:rPr>
          <w:bCs/>
          <w:sz w:val="24"/>
          <w:szCs w:val="24"/>
        </w:rPr>
        <w:tab/>
        <w:t xml:space="preserve">      </w:t>
      </w:r>
      <w:r w:rsidR="00BF31B4">
        <w:rPr>
          <w:bCs/>
          <w:sz w:val="24"/>
          <w:szCs w:val="24"/>
        </w:rPr>
        <w:tab/>
      </w:r>
      <w:hyperlink r:id="rId17" w:history="1">
        <w:r w:rsidR="00BF31B4" w:rsidRPr="00DB03EF">
          <w:rPr>
            <w:rStyle w:val="Hyperlink"/>
            <w:rFonts w:cs="Calibri"/>
            <w:bCs/>
            <w:sz w:val="24"/>
            <w:szCs w:val="24"/>
          </w:rPr>
          <w:t>http://www.law360.com/articles/441776/ny-the-likely-loser-as-strike-pits-lawyer-against-lawyer</w:t>
        </w:r>
      </w:hyperlink>
    </w:p>
    <w:p w:rsidR="00753EA5" w:rsidRDefault="00753EA5" w:rsidP="00753EA5">
      <w:pPr>
        <w:tabs>
          <w:tab w:val="left" w:pos="720"/>
          <w:tab w:val="left" w:pos="1440"/>
        </w:tabs>
        <w:spacing w:after="0" w:line="240" w:lineRule="auto"/>
        <w:ind w:left="1440" w:hanging="1440"/>
        <w:contextualSpacing/>
        <w:jc w:val="both"/>
        <w:rPr>
          <w:rFonts w:cs="Arial"/>
          <w:sz w:val="24"/>
          <w:szCs w:val="24"/>
        </w:rPr>
      </w:pPr>
    </w:p>
    <w:p w:rsidR="006C5546" w:rsidRDefault="006C5546" w:rsidP="00753EA5">
      <w:pPr>
        <w:tabs>
          <w:tab w:val="left" w:pos="720"/>
          <w:tab w:val="left" w:pos="1440"/>
        </w:tabs>
        <w:spacing w:after="0" w:line="240" w:lineRule="auto"/>
        <w:ind w:left="1440" w:hanging="1440"/>
        <w:contextualSpacing/>
        <w:rPr>
          <w:rFonts w:cs="Arial"/>
          <w:i/>
          <w:sz w:val="24"/>
          <w:szCs w:val="24"/>
        </w:rPr>
      </w:pPr>
      <w:r>
        <w:rPr>
          <w:rFonts w:cs="Arial"/>
          <w:sz w:val="24"/>
          <w:szCs w:val="24"/>
        </w:rPr>
        <w:tab/>
      </w:r>
      <w:r w:rsidR="00753EA5">
        <w:rPr>
          <w:rFonts w:cs="Arial"/>
          <w:sz w:val="24"/>
          <w:szCs w:val="24"/>
        </w:rPr>
        <w:t xml:space="preserve">Owen Bowcutt &amp; Nicola Brown, </w:t>
      </w:r>
      <w:r w:rsidR="00753EA5" w:rsidRPr="007D79AC">
        <w:rPr>
          <w:rFonts w:cs="Arial"/>
          <w:i/>
          <w:sz w:val="24"/>
          <w:szCs w:val="24"/>
        </w:rPr>
        <w:t>More than 1,000 Lawyer</w:t>
      </w:r>
      <w:r w:rsidR="00705964">
        <w:rPr>
          <w:rFonts w:cs="Arial"/>
          <w:i/>
          <w:sz w:val="24"/>
          <w:szCs w:val="24"/>
        </w:rPr>
        <w:t>s Protest Outside Parliament at</w:t>
      </w:r>
    </w:p>
    <w:p w:rsidR="006C5546" w:rsidRDefault="006C5546" w:rsidP="006C5546">
      <w:pPr>
        <w:tabs>
          <w:tab w:val="left" w:pos="720"/>
          <w:tab w:val="left" w:pos="1440"/>
        </w:tabs>
        <w:spacing w:after="0" w:line="240" w:lineRule="auto"/>
        <w:ind w:left="1440" w:hanging="1440"/>
        <w:contextualSpacing/>
        <w:rPr>
          <w:rFonts w:cs="Arial"/>
          <w:sz w:val="24"/>
          <w:szCs w:val="24"/>
        </w:rPr>
      </w:pPr>
      <w:r>
        <w:rPr>
          <w:rFonts w:cs="Arial"/>
          <w:i/>
          <w:sz w:val="24"/>
          <w:szCs w:val="24"/>
        </w:rPr>
        <w:tab/>
        <w:t xml:space="preserve">      </w:t>
      </w:r>
      <w:r w:rsidR="00BF31B4">
        <w:rPr>
          <w:rFonts w:cs="Arial"/>
          <w:i/>
          <w:sz w:val="24"/>
          <w:szCs w:val="24"/>
        </w:rPr>
        <w:tab/>
      </w:r>
      <w:r w:rsidR="00753EA5" w:rsidRPr="007D79AC">
        <w:rPr>
          <w:rFonts w:cs="Arial"/>
          <w:i/>
          <w:sz w:val="24"/>
          <w:szCs w:val="24"/>
        </w:rPr>
        <w:t>Legal Aid Cuts</w:t>
      </w:r>
      <w:r w:rsidR="00753EA5">
        <w:rPr>
          <w:rFonts w:cs="Arial"/>
          <w:sz w:val="24"/>
          <w:szCs w:val="24"/>
        </w:rPr>
        <w:t>, Mar. 7, 2014,</w:t>
      </w:r>
    </w:p>
    <w:p w:rsidR="00753EA5" w:rsidRDefault="006C5546" w:rsidP="006C5546">
      <w:pPr>
        <w:tabs>
          <w:tab w:val="left" w:pos="720"/>
          <w:tab w:val="left" w:pos="1440"/>
        </w:tabs>
        <w:spacing w:after="0" w:line="240" w:lineRule="auto"/>
        <w:ind w:left="1440" w:hanging="1440"/>
        <w:contextualSpacing/>
        <w:rPr>
          <w:rFonts w:cs="Arial"/>
          <w:sz w:val="24"/>
          <w:szCs w:val="24"/>
        </w:rPr>
      </w:pPr>
      <w:r>
        <w:rPr>
          <w:rFonts w:cs="Arial"/>
          <w:i/>
          <w:sz w:val="24"/>
          <w:szCs w:val="24"/>
        </w:rPr>
        <w:tab/>
        <w:t xml:space="preserve">      </w:t>
      </w:r>
      <w:r w:rsidR="00BF31B4">
        <w:rPr>
          <w:rFonts w:cs="Arial"/>
          <w:i/>
          <w:sz w:val="24"/>
          <w:szCs w:val="24"/>
        </w:rPr>
        <w:tab/>
      </w:r>
      <w:r w:rsidRPr="006C5546">
        <w:rPr>
          <w:rFonts w:cs="Arial"/>
          <w:sz w:val="24"/>
          <w:szCs w:val="24"/>
        </w:rPr>
        <w:t>http://www.theguardian.com/law/2014/mar/07/lawyers-protest-parliament-legal-aid-cuts</w:t>
      </w:r>
    </w:p>
    <w:p w:rsidR="00753EA5" w:rsidRDefault="00753EA5" w:rsidP="00753EA5">
      <w:pPr>
        <w:tabs>
          <w:tab w:val="left" w:pos="720"/>
          <w:tab w:val="left" w:pos="1440"/>
        </w:tabs>
        <w:spacing w:after="0" w:line="240" w:lineRule="auto"/>
        <w:contextualSpacing/>
        <w:jc w:val="both"/>
        <w:rPr>
          <w:sz w:val="24"/>
          <w:szCs w:val="24"/>
        </w:rPr>
      </w:pPr>
      <w:r w:rsidRPr="003A40F5">
        <w:rPr>
          <w:sz w:val="24"/>
          <w:szCs w:val="24"/>
        </w:rPr>
        <w:t xml:space="preserve"> </w:t>
      </w:r>
    </w:p>
    <w:p w:rsidR="006C5546" w:rsidRDefault="006C5546" w:rsidP="00753EA5">
      <w:pPr>
        <w:tabs>
          <w:tab w:val="left" w:pos="720"/>
          <w:tab w:val="left" w:pos="1440"/>
        </w:tabs>
        <w:spacing w:after="0" w:line="240" w:lineRule="auto"/>
        <w:ind w:left="1440" w:hanging="1440"/>
        <w:contextualSpacing/>
        <w:jc w:val="both"/>
        <w:rPr>
          <w:bCs/>
          <w:i/>
          <w:sz w:val="24"/>
          <w:szCs w:val="24"/>
        </w:rPr>
      </w:pPr>
      <w:r>
        <w:rPr>
          <w:bCs/>
          <w:sz w:val="24"/>
          <w:szCs w:val="24"/>
        </w:rPr>
        <w:tab/>
      </w:r>
      <w:r w:rsidR="00753EA5" w:rsidRPr="001A63F9">
        <w:rPr>
          <w:bCs/>
          <w:sz w:val="24"/>
          <w:szCs w:val="24"/>
        </w:rPr>
        <w:t xml:space="preserve">Erik Eckholm, </w:t>
      </w:r>
      <w:r w:rsidR="00753EA5" w:rsidRPr="001A63F9">
        <w:rPr>
          <w:bCs/>
          <w:i/>
          <w:sz w:val="24"/>
          <w:szCs w:val="24"/>
        </w:rPr>
        <w:t xml:space="preserve">Public Defenders, Bolstered by a Work Analysis and Rulings, Push </w:t>
      </w:r>
      <w:r w:rsidR="00705964">
        <w:rPr>
          <w:bCs/>
          <w:i/>
          <w:sz w:val="24"/>
          <w:szCs w:val="24"/>
        </w:rPr>
        <w:t>Back</w:t>
      </w:r>
    </w:p>
    <w:p w:rsidR="00753EA5" w:rsidRDefault="006C5546" w:rsidP="00753EA5">
      <w:pPr>
        <w:tabs>
          <w:tab w:val="left" w:pos="720"/>
          <w:tab w:val="left" w:pos="1440"/>
        </w:tabs>
        <w:spacing w:after="0" w:line="240" w:lineRule="auto"/>
        <w:ind w:left="1440" w:hanging="1440"/>
        <w:contextualSpacing/>
        <w:jc w:val="both"/>
        <w:rPr>
          <w:bCs/>
          <w:sz w:val="24"/>
          <w:szCs w:val="24"/>
        </w:rPr>
      </w:pPr>
      <w:r>
        <w:rPr>
          <w:bCs/>
          <w:i/>
          <w:sz w:val="24"/>
          <w:szCs w:val="24"/>
        </w:rPr>
        <w:tab/>
        <w:t xml:space="preserve">      </w:t>
      </w:r>
      <w:r w:rsidR="00BF31B4">
        <w:rPr>
          <w:bCs/>
          <w:i/>
          <w:sz w:val="24"/>
          <w:szCs w:val="24"/>
        </w:rPr>
        <w:tab/>
      </w:r>
      <w:r w:rsidR="00753EA5" w:rsidRPr="001A63F9">
        <w:rPr>
          <w:bCs/>
          <w:i/>
          <w:sz w:val="24"/>
          <w:szCs w:val="24"/>
        </w:rPr>
        <w:t>Against a Tide of Cases</w:t>
      </w:r>
      <w:r w:rsidR="00753EA5" w:rsidRPr="001A63F9">
        <w:rPr>
          <w:bCs/>
          <w:sz w:val="24"/>
          <w:szCs w:val="24"/>
        </w:rPr>
        <w:t xml:space="preserve">, </w:t>
      </w:r>
      <w:r w:rsidR="00753EA5" w:rsidRPr="001A63F9">
        <w:rPr>
          <w:bCs/>
          <w:smallCaps/>
          <w:sz w:val="24"/>
          <w:szCs w:val="24"/>
        </w:rPr>
        <w:t>N.Y. Times</w:t>
      </w:r>
      <w:r w:rsidR="00705964">
        <w:rPr>
          <w:bCs/>
          <w:sz w:val="24"/>
          <w:szCs w:val="24"/>
        </w:rPr>
        <w:t xml:space="preserve"> (Feb. 18, 2014)</w:t>
      </w:r>
    </w:p>
    <w:p w:rsidR="00753EA5" w:rsidRDefault="00753EA5" w:rsidP="00753EA5">
      <w:pPr>
        <w:tabs>
          <w:tab w:val="left" w:pos="720"/>
          <w:tab w:val="left" w:pos="1440"/>
        </w:tabs>
        <w:spacing w:after="0" w:line="240" w:lineRule="auto"/>
        <w:ind w:left="1440" w:hanging="1440"/>
        <w:contextualSpacing/>
        <w:jc w:val="both"/>
        <w:rPr>
          <w:bCs/>
          <w:sz w:val="24"/>
          <w:szCs w:val="24"/>
        </w:rPr>
      </w:pPr>
      <w:r>
        <w:rPr>
          <w:bCs/>
          <w:sz w:val="24"/>
          <w:szCs w:val="24"/>
        </w:rPr>
        <w:tab/>
      </w:r>
    </w:p>
    <w:p w:rsidR="006C5546" w:rsidRDefault="00753EA5" w:rsidP="00C737E2">
      <w:pPr>
        <w:tabs>
          <w:tab w:val="left" w:pos="720"/>
          <w:tab w:val="left" w:pos="1440"/>
        </w:tabs>
        <w:spacing w:after="0" w:line="240" w:lineRule="auto"/>
        <w:ind w:left="1440" w:hanging="1440"/>
        <w:contextualSpacing/>
        <w:jc w:val="both"/>
        <w:rPr>
          <w:rFonts w:cs="Arial"/>
          <w:i/>
          <w:sz w:val="24"/>
          <w:szCs w:val="24"/>
        </w:rPr>
      </w:pPr>
      <w:r>
        <w:rPr>
          <w:rFonts w:cs="Arial"/>
          <w:sz w:val="24"/>
          <w:szCs w:val="24"/>
        </w:rPr>
        <w:tab/>
      </w:r>
      <w:r w:rsidR="00C737E2">
        <w:rPr>
          <w:rFonts w:cs="Arial"/>
          <w:sz w:val="24"/>
          <w:szCs w:val="24"/>
        </w:rPr>
        <w:t xml:space="preserve">Gillian K. Hadfield, </w:t>
      </w:r>
      <w:r w:rsidR="00C737E2" w:rsidRPr="003A40F5">
        <w:rPr>
          <w:rFonts w:cs="Arial"/>
          <w:i/>
          <w:sz w:val="24"/>
          <w:szCs w:val="24"/>
        </w:rPr>
        <w:t>Innovating to Improve Access: C</w:t>
      </w:r>
      <w:r w:rsidR="00705964">
        <w:rPr>
          <w:rFonts w:cs="Arial"/>
          <w:i/>
          <w:sz w:val="24"/>
          <w:szCs w:val="24"/>
        </w:rPr>
        <w:t>hanging the Way Courts Regulate</w:t>
      </w:r>
    </w:p>
    <w:p w:rsidR="00C737E2" w:rsidRDefault="006C5546" w:rsidP="00C737E2">
      <w:pPr>
        <w:tabs>
          <w:tab w:val="left" w:pos="720"/>
          <w:tab w:val="left" w:pos="1440"/>
        </w:tabs>
        <w:spacing w:after="0" w:line="240" w:lineRule="auto"/>
        <w:ind w:left="1440" w:hanging="1440"/>
        <w:contextualSpacing/>
        <w:jc w:val="both"/>
        <w:rPr>
          <w:sz w:val="24"/>
          <w:szCs w:val="24"/>
        </w:rPr>
      </w:pPr>
      <w:r>
        <w:rPr>
          <w:rFonts w:cs="Arial"/>
          <w:i/>
          <w:sz w:val="24"/>
          <w:szCs w:val="24"/>
        </w:rPr>
        <w:tab/>
        <w:t xml:space="preserve">      </w:t>
      </w:r>
      <w:r w:rsidR="00BF31B4">
        <w:rPr>
          <w:rFonts w:cs="Arial"/>
          <w:i/>
          <w:sz w:val="24"/>
          <w:szCs w:val="24"/>
        </w:rPr>
        <w:tab/>
      </w:r>
      <w:r w:rsidR="00C737E2" w:rsidRPr="003A40F5">
        <w:rPr>
          <w:rFonts w:cs="Arial"/>
          <w:i/>
          <w:sz w:val="24"/>
          <w:szCs w:val="24"/>
        </w:rPr>
        <w:t>Legal Markets</w:t>
      </w:r>
      <w:r w:rsidR="00C737E2" w:rsidRPr="003A40F5">
        <w:rPr>
          <w:rFonts w:cs="Arial"/>
          <w:sz w:val="24"/>
          <w:szCs w:val="24"/>
        </w:rPr>
        <w:t xml:space="preserve">, </w:t>
      </w:r>
      <w:r w:rsidR="00C737E2">
        <w:rPr>
          <w:rFonts w:cs="Arial"/>
          <w:sz w:val="24"/>
          <w:szCs w:val="24"/>
        </w:rPr>
        <w:t>in</w:t>
      </w:r>
      <w:r w:rsidR="00C737E2" w:rsidRPr="003A40F5">
        <w:rPr>
          <w:rFonts w:cs="Arial"/>
          <w:sz w:val="24"/>
          <w:szCs w:val="24"/>
        </w:rPr>
        <w:t xml:space="preserve"> </w:t>
      </w:r>
      <w:r w:rsidR="00C737E2" w:rsidRPr="003A40F5">
        <w:rPr>
          <w:rFonts w:cs="Arial"/>
          <w:smallCaps/>
          <w:sz w:val="24"/>
          <w:szCs w:val="24"/>
        </w:rPr>
        <w:t xml:space="preserve">Daedalus </w:t>
      </w:r>
      <w:r w:rsidR="006F1CA6">
        <w:rPr>
          <w:rFonts w:cs="Arial"/>
          <w:smallCaps/>
          <w:sz w:val="24"/>
          <w:szCs w:val="24"/>
        </w:rPr>
        <w:t xml:space="preserve"> 83 </w:t>
      </w:r>
      <w:r w:rsidR="00C737E2" w:rsidRPr="003A40F5">
        <w:rPr>
          <w:rFonts w:cs="Arial"/>
          <w:sz w:val="24"/>
          <w:szCs w:val="24"/>
        </w:rPr>
        <w:t>(</w:t>
      </w:r>
      <w:r w:rsidR="006F1CA6">
        <w:rPr>
          <w:rFonts w:cs="Arial"/>
          <w:sz w:val="24"/>
          <w:szCs w:val="24"/>
        </w:rPr>
        <w:t xml:space="preserve">Summer, </w:t>
      </w:r>
      <w:r w:rsidR="00705964">
        <w:rPr>
          <w:rFonts w:cs="Arial"/>
          <w:sz w:val="24"/>
          <w:szCs w:val="24"/>
        </w:rPr>
        <w:t>2014)</w:t>
      </w:r>
    </w:p>
    <w:p w:rsidR="006F1CA6" w:rsidRPr="003A40F5" w:rsidRDefault="006F1CA6" w:rsidP="00C737E2">
      <w:pPr>
        <w:tabs>
          <w:tab w:val="left" w:pos="720"/>
          <w:tab w:val="left" w:pos="1440"/>
        </w:tabs>
        <w:spacing w:after="0" w:line="240" w:lineRule="auto"/>
        <w:ind w:left="1440" w:hanging="1440"/>
        <w:contextualSpacing/>
        <w:jc w:val="both"/>
        <w:rPr>
          <w:sz w:val="24"/>
          <w:szCs w:val="24"/>
        </w:rPr>
      </w:pPr>
    </w:p>
    <w:p w:rsidR="006C5546" w:rsidRDefault="00753EA5" w:rsidP="001D50E8">
      <w:pPr>
        <w:tabs>
          <w:tab w:val="left" w:pos="720"/>
          <w:tab w:val="left" w:pos="1440"/>
        </w:tabs>
        <w:spacing w:after="0" w:line="240" w:lineRule="auto"/>
        <w:ind w:left="1440" w:hanging="1440"/>
        <w:contextualSpacing/>
        <w:jc w:val="both"/>
        <w:rPr>
          <w:rFonts w:cs="Arial"/>
          <w:i/>
          <w:sz w:val="24"/>
          <w:szCs w:val="24"/>
        </w:rPr>
      </w:pPr>
      <w:r>
        <w:rPr>
          <w:rFonts w:cs="Noteworthy Light"/>
          <w:sz w:val="24"/>
          <w:szCs w:val="24"/>
        </w:rPr>
        <w:lastRenderedPageBreak/>
        <w:tab/>
      </w:r>
      <w:r w:rsidR="001D50E8">
        <w:rPr>
          <w:rFonts w:cs="Arial"/>
          <w:sz w:val="24"/>
          <w:szCs w:val="24"/>
        </w:rPr>
        <w:t xml:space="preserve">Brooks Holland, </w:t>
      </w:r>
      <w:r w:rsidR="001D50E8" w:rsidRPr="00274BF8">
        <w:rPr>
          <w:rFonts w:cs="Arial"/>
          <w:i/>
          <w:sz w:val="24"/>
          <w:szCs w:val="24"/>
        </w:rPr>
        <w:t>The Washington State Limited Licen</w:t>
      </w:r>
      <w:r w:rsidR="00705964">
        <w:rPr>
          <w:rFonts w:cs="Arial"/>
          <w:i/>
          <w:sz w:val="24"/>
          <w:szCs w:val="24"/>
        </w:rPr>
        <w:t>se Technician Practice Rule:  A</w:t>
      </w:r>
    </w:p>
    <w:p w:rsidR="00753EA5" w:rsidRPr="006C5546" w:rsidRDefault="006C5546" w:rsidP="006C5546">
      <w:pPr>
        <w:tabs>
          <w:tab w:val="left" w:pos="720"/>
          <w:tab w:val="left" w:pos="1440"/>
        </w:tabs>
        <w:spacing w:after="0" w:line="240" w:lineRule="auto"/>
        <w:ind w:left="1440" w:hanging="1440"/>
        <w:contextualSpacing/>
        <w:jc w:val="both"/>
        <w:rPr>
          <w:i/>
          <w:iCs/>
        </w:rPr>
      </w:pPr>
      <w:r>
        <w:rPr>
          <w:rFonts w:cs="Arial"/>
          <w:i/>
          <w:sz w:val="24"/>
          <w:szCs w:val="24"/>
        </w:rPr>
        <w:tab/>
        <w:t xml:space="preserve">     </w:t>
      </w:r>
      <w:r w:rsidR="00BF31B4">
        <w:rPr>
          <w:rFonts w:cs="Arial"/>
          <w:i/>
          <w:sz w:val="24"/>
          <w:szCs w:val="24"/>
        </w:rPr>
        <w:tab/>
      </w:r>
      <w:r>
        <w:rPr>
          <w:rFonts w:cs="Arial"/>
          <w:i/>
          <w:sz w:val="24"/>
          <w:szCs w:val="24"/>
        </w:rPr>
        <w:t xml:space="preserve"> </w:t>
      </w:r>
      <w:r w:rsidR="001D50E8" w:rsidRPr="00274BF8">
        <w:rPr>
          <w:rFonts w:cs="Arial"/>
          <w:i/>
          <w:sz w:val="24"/>
          <w:szCs w:val="24"/>
        </w:rPr>
        <w:t>National First in Access to Justice</w:t>
      </w:r>
      <w:r w:rsidR="001D50E8">
        <w:rPr>
          <w:rFonts w:cs="Arial"/>
          <w:sz w:val="24"/>
          <w:szCs w:val="24"/>
        </w:rPr>
        <w:t>, 82 Miss. L.J. 75 (2013)</w:t>
      </w:r>
    </w:p>
    <w:p w:rsidR="00753EA5" w:rsidRDefault="00753EA5" w:rsidP="00753EA5">
      <w:pPr>
        <w:widowControl w:val="0"/>
        <w:autoSpaceDE w:val="0"/>
        <w:autoSpaceDN w:val="0"/>
        <w:adjustRightInd w:val="0"/>
        <w:spacing w:after="0" w:line="240" w:lineRule="auto"/>
        <w:rPr>
          <w:rFonts w:cs="Arial"/>
          <w:sz w:val="24"/>
          <w:szCs w:val="24"/>
        </w:rPr>
      </w:pPr>
    </w:p>
    <w:p w:rsidR="007D79AC" w:rsidRDefault="007D79AC" w:rsidP="00BF31B4">
      <w:pPr>
        <w:tabs>
          <w:tab w:val="left" w:pos="720"/>
          <w:tab w:val="left" w:pos="1440"/>
        </w:tabs>
        <w:spacing w:after="0" w:line="240" w:lineRule="auto"/>
        <w:ind w:left="2160" w:hanging="1440"/>
        <w:contextualSpacing/>
        <w:jc w:val="both"/>
        <w:rPr>
          <w:rFonts w:cs="Arial"/>
          <w:sz w:val="24"/>
          <w:szCs w:val="24"/>
        </w:rPr>
      </w:pPr>
      <w:r>
        <w:rPr>
          <w:rFonts w:cs="Arial"/>
          <w:sz w:val="24"/>
          <w:szCs w:val="24"/>
        </w:rPr>
        <w:t xml:space="preserve">Melanie Abbott, Leslie C. Levin &amp; Stephen Wizner, </w:t>
      </w:r>
      <w:r w:rsidRPr="00E655DD">
        <w:rPr>
          <w:rFonts w:cs="Arial"/>
          <w:i/>
          <w:sz w:val="24"/>
          <w:szCs w:val="24"/>
        </w:rPr>
        <w:t>Report to the Connecticut Judicial Branch Access to Justice Commission</w:t>
      </w:r>
      <w:r>
        <w:rPr>
          <w:rFonts w:cs="Arial"/>
          <w:sz w:val="24"/>
          <w:szCs w:val="24"/>
        </w:rPr>
        <w:t xml:space="preserve"> (Feb. 5, 2013)</w:t>
      </w:r>
    </w:p>
    <w:p w:rsidR="00017D48" w:rsidRDefault="00017D48" w:rsidP="00753EA5">
      <w:pPr>
        <w:tabs>
          <w:tab w:val="left" w:pos="720"/>
          <w:tab w:val="left" w:pos="1440"/>
        </w:tabs>
        <w:spacing w:after="0" w:line="240" w:lineRule="auto"/>
        <w:ind w:left="1440" w:hanging="1440"/>
        <w:contextualSpacing/>
        <w:jc w:val="both"/>
        <w:rPr>
          <w:sz w:val="24"/>
          <w:szCs w:val="24"/>
        </w:rPr>
      </w:pPr>
    </w:p>
    <w:p w:rsidR="00FE35D6" w:rsidRPr="00FE35D6" w:rsidRDefault="00FE35D6" w:rsidP="00FE35D6">
      <w:pPr>
        <w:tabs>
          <w:tab w:val="left" w:pos="720"/>
          <w:tab w:val="left" w:pos="1440"/>
        </w:tabs>
        <w:spacing w:after="0" w:line="240" w:lineRule="auto"/>
        <w:ind w:left="1440" w:hanging="1440"/>
        <w:contextualSpacing/>
        <w:rPr>
          <w:rFonts w:asciiTheme="minorHAnsi" w:hAnsiTheme="minorHAnsi"/>
          <w:sz w:val="24"/>
          <w:szCs w:val="24"/>
        </w:rPr>
      </w:pPr>
      <w:r>
        <w:rPr>
          <w:rFonts w:asciiTheme="minorHAnsi" w:hAnsiTheme="minorHAnsi"/>
          <w:sz w:val="24"/>
          <w:szCs w:val="24"/>
        </w:rPr>
        <w:tab/>
      </w:r>
      <w:r w:rsidR="00705964">
        <w:rPr>
          <w:rFonts w:asciiTheme="minorHAnsi" w:hAnsiTheme="minorHAnsi"/>
          <w:sz w:val="24"/>
          <w:szCs w:val="24"/>
        </w:rPr>
        <w:t>Optional:</w:t>
      </w:r>
    </w:p>
    <w:p w:rsidR="00FE35D6" w:rsidRDefault="00FE35D6" w:rsidP="00BF31B4">
      <w:pPr>
        <w:spacing w:after="0" w:line="240" w:lineRule="auto"/>
        <w:ind w:left="1440"/>
        <w:contextualSpacing/>
        <w:jc w:val="both"/>
        <w:rPr>
          <w:rFonts w:asciiTheme="minorHAnsi" w:hAnsiTheme="minorHAnsi" w:cs="Arial"/>
          <w:i/>
          <w:iCs/>
          <w:sz w:val="24"/>
          <w:szCs w:val="24"/>
        </w:rPr>
      </w:pPr>
      <w:r w:rsidRPr="00FF4DD6">
        <w:rPr>
          <w:rFonts w:asciiTheme="minorHAnsi" w:eastAsiaTheme="minorHAnsi" w:hAnsiTheme="minorHAnsi" w:cs="Times New Roman"/>
          <w:i/>
          <w:iCs/>
          <w:sz w:val="24"/>
          <w:szCs w:val="24"/>
        </w:rPr>
        <w:t>Stephen Yeazell,</w:t>
      </w:r>
      <w:r w:rsidRPr="00FF4DD6">
        <w:rPr>
          <w:rStyle w:val="selectable"/>
          <w:rFonts w:asciiTheme="minorHAnsi" w:hAnsiTheme="minorHAnsi" w:cs="Arial"/>
          <w:color w:val="000000"/>
          <w:sz w:val="24"/>
          <w:szCs w:val="24"/>
          <w:lang w:val="en"/>
        </w:rPr>
        <w:t xml:space="preserve">  </w:t>
      </w:r>
      <w:r w:rsidRPr="00FF4DD6">
        <w:rPr>
          <w:rStyle w:val="selectable"/>
          <w:rFonts w:asciiTheme="minorHAnsi" w:hAnsiTheme="minorHAnsi" w:cs="Arial"/>
          <w:i/>
          <w:iCs/>
          <w:color w:val="000000"/>
          <w:sz w:val="24"/>
          <w:szCs w:val="24"/>
          <w:lang w:val="en"/>
        </w:rPr>
        <w:t>Refinancing Civil Litigation</w:t>
      </w:r>
      <w:r w:rsidRPr="00FF4DD6">
        <w:rPr>
          <w:rStyle w:val="selectable"/>
          <w:rFonts w:asciiTheme="minorHAnsi" w:hAnsiTheme="minorHAnsi" w:cs="Arial"/>
          <w:color w:val="000000"/>
          <w:sz w:val="24"/>
          <w:szCs w:val="24"/>
          <w:lang w:val="en"/>
        </w:rPr>
        <w:t xml:space="preserve">, </w:t>
      </w:r>
      <w:r>
        <w:rPr>
          <w:rFonts w:asciiTheme="minorHAnsi" w:hAnsiTheme="minorHAnsi" w:cs="Arial"/>
          <w:i/>
          <w:iCs/>
          <w:sz w:val="24"/>
          <w:szCs w:val="24"/>
        </w:rPr>
        <w:t>51 DePaul L. Rev. 183 (2001)</w:t>
      </w:r>
    </w:p>
    <w:p w:rsidR="0090507F" w:rsidRPr="00FF4DD6" w:rsidRDefault="0090507F" w:rsidP="00676225">
      <w:pPr>
        <w:spacing w:after="0" w:line="240" w:lineRule="auto"/>
        <w:contextualSpacing/>
        <w:jc w:val="both"/>
        <w:rPr>
          <w:rFonts w:asciiTheme="minorHAnsi" w:eastAsiaTheme="minorHAnsi" w:hAnsiTheme="minorHAnsi" w:cs="Times New Roman"/>
          <w:i/>
          <w:iCs/>
          <w:sz w:val="24"/>
          <w:szCs w:val="24"/>
        </w:rPr>
      </w:pPr>
    </w:p>
    <w:p w:rsidR="00C737E2" w:rsidRDefault="00C737E2" w:rsidP="00676225">
      <w:pPr>
        <w:spacing w:after="0" w:line="240" w:lineRule="auto"/>
        <w:contextualSpacing/>
        <w:jc w:val="both"/>
        <w:rPr>
          <w:rFonts w:asciiTheme="minorHAnsi" w:hAnsiTheme="minorHAnsi"/>
          <w:b/>
          <w:sz w:val="24"/>
          <w:szCs w:val="24"/>
        </w:rPr>
      </w:pPr>
    </w:p>
    <w:p w:rsidR="00664D97" w:rsidRPr="001A63F9" w:rsidRDefault="001A63F9" w:rsidP="00031C53">
      <w:pPr>
        <w:tabs>
          <w:tab w:val="left" w:pos="1440"/>
        </w:tabs>
        <w:spacing w:after="0" w:line="240" w:lineRule="auto"/>
        <w:rPr>
          <w:b/>
          <w:bCs/>
          <w:sz w:val="28"/>
          <w:szCs w:val="28"/>
        </w:rPr>
      </w:pPr>
      <w:r w:rsidRPr="001A63F9">
        <w:rPr>
          <w:rFonts w:cstheme="minorHAnsi"/>
          <w:b/>
          <w:bCs/>
          <w:sz w:val="28"/>
          <w:szCs w:val="28"/>
        </w:rPr>
        <w:t>April 20 (</w:t>
      </w:r>
      <w:r w:rsidR="00031C53" w:rsidRPr="001A63F9">
        <w:rPr>
          <w:rFonts w:cstheme="minorHAnsi"/>
          <w:b/>
          <w:bCs/>
          <w:sz w:val="28"/>
          <w:szCs w:val="28"/>
        </w:rPr>
        <w:t>Class 11</w:t>
      </w:r>
      <w:r w:rsidR="00676225">
        <w:rPr>
          <w:rFonts w:cstheme="minorHAnsi"/>
          <w:b/>
          <w:bCs/>
          <w:sz w:val="28"/>
          <w:szCs w:val="28"/>
        </w:rPr>
        <w:t xml:space="preserve">): </w:t>
      </w:r>
      <w:r w:rsidRPr="001A63F9">
        <w:rPr>
          <w:rFonts w:cstheme="minorHAnsi"/>
          <w:b/>
          <w:bCs/>
          <w:sz w:val="28"/>
          <w:szCs w:val="28"/>
        </w:rPr>
        <w:t xml:space="preserve"> </w:t>
      </w:r>
      <w:r w:rsidR="00664D97" w:rsidRPr="001A63F9">
        <w:rPr>
          <w:b/>
          <w:bCs/>
          <w:sz w:val="28"/>
          <w:szCs w:val="28"/>
        </w:rPr>
        <w:t>Alternative Courts and Alternatives to Courts:</w:t>
      </w:r>
      <w:r w:rsidR="00585EFA">
        <w:rPr>
          <w:b/>
          <w:bCs/>
          <w:sz w:val="28"/>
          <w:szCs w:val="28"/>
        </w:rPr>
        <w:t xml:space="preserve"> “Drug Courts,” </w:t>
      </w:r>
      <w:r w:rsidR="00664D97" w:rsidRPr="001A63F9">
        <w:rPr>
          <w:b/>
          <w:bCs/>
          <w:sz w:val="28"/>
          <w:szCs w:val="28"/>
        </w:rPr>
        <w:t xml:space="preserve"> “Girls’ Courts,” “Veterans’ Courts,”</w:t>
      </w:r>
      <w:r w:rsidR="00585EFA">
        <w:rPr>
          <w:b/>
          <w:bCs/>
          <w:sz w:val="28"/>
          <w:szCs w:val="28"/>
        </w:rPr>
        <w:t xml:space="preserve"> and </w:t>
      </w:r>
      <w:r w:rsidR="00664D97" w:rsidRPr="001A63F9">
        <w:rPr>
          <w:b/>
          <w:bCs/>
          <w:sz w:val="28"/>
          <w:szCs w:val="28"/>
        </w:rPr>
        <w:t>“Mental Health Courts”</w:t>
      </w:r>
    </w:p>
    <w:p w:rsidR="006C5546" w:rsidRDefault="003B4095" w:rsidP="006C5546">
      <w:pPr>
        <w:tabs>
          <w:tab w:val="left" w:pos="720"/>
        </w:tabs>
        <w:spacing w:after="0" w:line="240" w:lineRule="auto"/>
        <w:rPr>
          <w:bCs/>
          <w:sz w:val="24"/>
          <w:szCs w:val="24"/>
        </w:rPr>
      </w:pPr>
      <w:r>
        <w:rPr>
          <w:bCs/>
          <w:sz w:val="24"/>
          <w:szCs w:val="24"/>
        </w:rPr>
        <w:tab/>
      </w:r>
      <w:r w:rsidR="00664D97" w:rsidRPr="003A40F5">
        <w:rPr>
          <w:bCs/>
          <w:sz w:val="24"/>
          <w:szCs w:val="24"/>
        </w:rPr>
        <w:t xml:space="preserve">In the past two decades, “problem-solving courts” </w:t>
      </w:r>
      <w:r w:rsidR="0090507F">
        <w:rPr>
          <w:bCs/>
          <w:sz w:val="24"/>
          <w:szCs w:val="24"/>
        </w:rPr>
        <w:t>have come to the fore. As you read the descriptions, consider the t</w:t>
      </w:r>
      <w:r w:rsidR="00664D97" w:rsidRPr="003A40F5">
        <w:rPr>
          <w:bCs/>
          <w:sz w:val="24"/>
          <w:szCs w:val="24"/>
        </w:rPr>
        <w:t>ypes of claims addressed</w:t>
      </w:r>
      <w:r w:rsidR="00F56AB6">
        <w:rPr>
          <w:bCs/>
          <w:sz w:val="24"/>
          <w:szCs w:val="24"/>
        </w:rPr>
        <w:t xml:space="preserve"> and the rules.</w:t>
      </w:r>
      <w:r w:rsidR="0090507F">
        <w:rPr>
          <w:bCs/>
          <w:sz w:val="24"/>
          <w:szCs w:val="24"/>
        </w:rPr>
        <w:t xml:space="preserve"> </w:t>
      </w:r>
      <w:r w:rsidR="00664D97" w:rsidRPr="003A40F5">
        <w:rPr>
          <w:bCs/>
          <w:sz w:val="24"/>
          <w:szCs w:val="24"/>
        </w:rPr>
        <w:t xml:space="preserve"> </w:t>
      </w:r>
      <w:r w:rsidR="0090507F">
        <w:rPr>
          <w:bCs/>
          <w:sz w:val="24"/>
          <w:szCs w:val="24"/>
        </w:rPr>
        <w:t xml:space="preserve">What are the goals of such institutions? </w:t>
      </w:r>
      <w:r w:rsidR="00705964">
        <w:rPr>
          <w:bCs/>
          <w:sz w:val="24"/>
          <w:szCs w:val="24"/>
        </w:rPr>
        <w:t xml:space="preserve"> </w:t>
      </w:r>
      <w:r w:rsidR="0090507F">
        <w:rPr>
          <w:bCs/>
          <w:sz w:val="24"/>
          <w:szCs w:val="24"/>
        </w:rPr>
        <w:t xml:space="preserve">Their authority?  What roles are there for lawyers?  How many subdivided court systems are wise and how much do the targeted populations overlap?  </w:t>
      </w:r>
      <w:r w:rsidR="00664D97" w:rsidRPr="003A40F5">
        <w:rPr>
          <w:bCs/>
          <w:sz w:val="24"/>
          <w:szCs w:val="24"/>
        </w:rPr>
        <w:t>Who has access to watch what transpires? What co</w:t>
      </w:r>
      <w:r w:rsidR="0090507F">
        <w:rPr>
          <w:bCs/>
          <w:sz w:val="24"/>
          <w:szCs w:val="24"/>
        </w:rPr>
        <w:t>nstraints on power are in place?</w:t>
      </w:r>
    </w:p>
    <w:p w:rsidR="006C5546" w:rsidRDefault="006C5546" w:rsidP="006C5546">
      <w:pPr>
        <w:tabs>
          <w:tab w:val="left" w:pos="720"/>
        </w:tabs>
        <w:spacing w:after="0" w:line="240" w:lineRule="auto"/>
        <w:rPr>
          <w:bCs/>
          <w:sz w:val="24"/>
          <w:szCs w:val="24"/>
        </w:rPr>
      </w:pPr>
    </w:p>
    <w:p w:rsidR="006C5546" w:rsidRDefault="0090507F" w:rsidP="006C5546">
      <w:pPr>
        <w:tabs>
          <w:tab w:val="left" w:pos="720"/>
        </w:tabs>
        <w:spacing w:after="0" w:line="240" w:lineRule="auto"/>
        <w:ind w:left="720"/>
        <w:rPr>
          <w:sz w:val="24"/>
          <w:szCs w:val="24"/>
        </w:rPr>
      </w:pPr>
      <w:r w:rsidRPr="00232892">
        <w:rPr>
          <w:i/>
          <w:sz w:val="24"/>
          <w:szCs w:val="24"/>
        </w:rPr>
        <w:t>United States v. Leitch</w:t>
      </w:r>
      <w:r w:rsidRPr="00232892">
        <w:rPr>
          <w:sz w:val="24"/>
          <w:szCs w:val="24"/>
        </w:rPr>
        <w:t xml:space="preserve">, 2013 WL 753445, Nos. 11–CR–00609 (JG), 11–CR–00457 (JG), </w:t>
      </w:r>
    </w:p>
    <w:p w:rsidR="0090507F" w:rsidRPr="006C5546" w:rsidRDefault="006C5546" w:rsidP="006C5546">
      <w:pPr>
        <w:tabs>
          <w:tab w:val="left" w:pos="720"/>
        </w:tabs>
        <w:spacing w:after="0" w:line="240" w:lineRule="auto"/>
        <w:ind w:left="720"/>
        <w:rPr>
          <w:bCs/>
          <w:sz w:val="24"/>
          <w:szCs w:val="24"/>
        </w:rPr>
      </w:pPr>
      <w:r>
        <w:rPr>
          <w:i/>
          <w:sz w:val="24"/>
          <w:szCs w:val="24"/>
        </w:rPr>
        <w:t xml:space="preserve">     </w:t>
      </w:r>
      <w:r w:rsidR="00BF31B4">
        <w:rPr>
          <w:i/>
          <w:sz w:val="24"/>
          <w:szCs w:val="24"/>
        </w:rPr>
        <w:tab/>
      </w:r>
      <w:r>
        <w:rPr>
          <w:i/>
          <w:sz w:val="24"/>
          <w:szCs w:val="24"/>
        </w:rPr>
        <w:t xml:space="preserve"> </w:t>
      </w:r>
      <w:r w:rsidR="0090507F" w:rsidRPr="00232892">
        <w:rPr>
          <w:sz w:val="24"/>
          <w:szCs w:val="24"/>
        </w:rPr>
        <w:t>11–CR–0003</w:t>
      </w:r>
      <w:r w:rsidR="00705964">
        <w:rPr>
          <w:sz w:val="24"/>
          <w:szCs w:val="24"/>
        </w:rPr>
        <w:t>9 (JG) (E.D.N.Y. Feb. 28, 2013)</w:t>
      </w:r>
    </w:p>
    <w:p w:rsidR="0090507F" w:rsidRDefault="0090507F" w:rsidP="00234A14">
      <w:pPr>
        <w:tabs>
          <w:tab w:val="left" w:pos="720"/>
        </w:tabs>
        <w:spacing w:after="0" w:line="240" w:lineRule="auto"/>
        <w:rPr>
          <w:bCs/>
          <w:sz w:val="24"/>
          <w:szCs w:val="24"/>
        </w:rPr>
      </w:pPr>
    </w:p>
    <w:p w:rsidR="006C5546" w:rsidRDefault="00753C82" w:rsidP="006C5546">
      <w:pPr>
        <w:tabs>
          <w:tab w:val="left" w:pos="720"/>
        </w:tabs>
        <w:spacing w:after="0" w:line="240" w:lineRule="auto"/>
        <w:ind w:left="720"/>
        <w:rPr>
          <w:bCs/>
          <w:i/>
          <w:sz w:val="24"/>
          <w:szCs w:val="24"/>
        </w:rPr>
      </w:pPr>
      <w:r>
        <w:rPr>
          <w:bCs/>
          <w:sz w:val="24"/>
          <w:szCs w:val="24"/>
        </w:rPr>
        <w:t xml:space="preserve">Allegra M. McLeod, </w:t>
      </w:r>
      <w:r w:rsidRPr="00753C82">
        <w:rPr>
          <w:bCs/>
          <w:i/>
          <w:sz w:val="24"/>
          <w:szCs w:val="24"/>
        </w:rPr>
        <w:t xml:space="preserve">Decarceration Courts:  Possibilities and Perils of a Shifting Criminal </w:t>
      </w:r>
    </w:p>
    <w:p w:rsidR="00572093" w:rsidRDefault="006C5546" w:rsidP="006C5546">
      <w:pPr>
        <w:tabs>
          <w:tab w:val="left" w:pos="720"/>
        </w:tabs>
        <w:spacing w:after="0" w:line="240" w:lineRule="auto"/>
        <w:ind w:left="720"/>
        <w:rPr>
          <w:bCs/>
          <w:sz w:val="24"/>
          <w:szCs w:val="24"/>
        </w:rPr>
      </w:pPr>
      <w:r>
        <w:rPr>
          <w:bCs/>
          <w:i/>
          <w:sz w:val="24"/>
          <w:szCs w:val="24"/>
        </w:rPr>
        <w:t xml:space="preserve">   </w:t>
      </w:r>
      <w:r w:rsidR="00BF31B4">
        <w:rPr>
          <w:bCs/>
          <w:i/>
          <w:sz w:val="24"/>
          <w:szCs w:val="24"/>
        </w:rPr>
        <w:tab/>
      </w:r>
      <w:r>
        <w:rPr>
          <w:bCs/>
          <w:i/>
          <w:sz w:val="24"/>
          <w:szCs w:val="24"/>
        </w:rPr>
        <w:t xml:space="preserve">   </w:t>
      </w:r>
      <w:r w:rsidR="00753C82" w:rsidRPr="00753C82">
        <w:rPr>
          <w:bCs/>
          <w:i/>
          <w:sz w:val="24"/>
          <w:szCs w:val="24"/>
        </w:rPr>
        <w:t>Law</w:t>
      </w:r>
      <w:r w:rsidR="00753C82">
        <w:rPr>
          <w:bCs/>
          <w:sz w:val="24"/>
          <w:szCs w:val="24"/>
        </w:rPr>
        <w:t xml:space="preserve">, 100 </w:t>
      </w:r>
      <w:r w:rsidR="00753C82" w:rsidRPr="00753C82">
        <w:rPr>
          <w:bCs/>
          <w:sz w:val="24"/>
          <w:szCs w:val="24"/>
        </w:rPr>
        <w:t>Geo. L.J</w:t>
      </w:r>
      <w:r w:rsidR="00753C82" w:rsidRPr="00753C82">
        <w:rPr>
          <w:bCs/>
          <w:smallCaps/>
          <w:sz w:val="24"/>
          <w:szCs w:val="24"/>
        </w:rPr>
        <w:t>.</w:t>
      </w:r>
      <w:r>
        <w:rPr>
          <w:bCs/>
          <w:sz w:val="24"/>
          <w:szCs w:val="24"/>
        </w:rPr>
        <w:t xml:space="preserve"> 1587</w:t>
      </w:r>
      <w:r w:rsidR="00705964">
        <w:rPr>
          <w:bCs/>
          <w:sz w:val="24"/>
          <w:szCs w:val="24"/>
        </w:rPr>
        <w:t xml:space="preserve"> (2012)</w:t>
      </w:r>
    </w:p>
    <w:p w:rsidR="00572093" w:rsidRDefault="00572093" w:rsidP="006C5546">
      <w:pPr>
        <w:tabs>
          <w:tab w:val="left" w:pos="1440"/>
        </w:tabs>
        <w:spacing w:after="0" w:line="240" w:lineRule="auto"/>
        <w:rPr>
          <w:bCs/>
          <w:sz w:val="24"/>
          <w:szCs w:val="24"/>
        </w:rPr>
      </w:pPr>
    </w:p>
    <w:p w:rsidR="006C5546" w:rsidRDefault="00664D97" w:rsidP="00664D97">
      <w:pPr>
        <w:tabs>
          <w:tab w:val="left" w:pos="1440"/>
        </w:tabs>
        <w:spacing w:after="0" w:line="240" w:lineRule="auto"/>
        <w:ind w:left="756"/>
        <w:rPr>
          <w:bCs/>
          <w:sz w:val="24"/>
          <w:szCs w:val="24"/>
        </w:rPr>
      </w:pPr>
      <w:r w:rsidRPr="003A40F5">
        <w:rPr>
          <w:bCs/>
          <w:sz w:val="24"/>
          <w:szCs w:val="24"/>
        </w:rPr>
        <w:t xml:space="preserve">Tamar Lerer, </w:t>
      </w:r>
      <w:r w:rsidRPr="003A40F5">
        <w:rPr>
          <w:bCs/>
          <w:i/>
          <w:sz w:val="24"/>
          <w:szCs w:val="24"/>
        </w:rPr>
        <w:t>Hawai’i Girls Court: Juveniles, Gender, and Justice</w:t>
      </w:r>
      <w:r w:rsidRPr="003A40F5">
        <w:rPr>
          <w:bCs/>
          <w:sz w:val="24"/>
          <w:szCs w:val="24"/>
        </w:rPr>
        <w:t xml:space="preserve">, 18 Berkeley J. Crim. L. 1 </w:t>
      </w:r>
    </w:p>
    <w:p w:rsidR="00664D97" w:rsidRDefault="006C5546" w:rsidP="00664D97">
      <w:pPr>
        <w:tabs>
          <w:tab w:val="left" w:pos="1440"/>
        </w:tabs>
        <w:spacing w:after="0" w:line="240" w:lineRule="auto"/>
        <w:ind w:left="756"/>
        <w:rPr>
          <w:bCs/>
          <w:sz w:val="24"/>
          <w:szCs w:val="24"/>
        </w:rPr>
      </w:pPr>
      <w:r>
        <w:rPr>
          <w:bCs/>
          <w:sz w:val="24"/>
          <w:szCs w:val="24"/>
        </w:rPr>
        <w:t xml:space="preserve">  </w:t>
      </w:r>
      <w:r w:rsidR="00BF31B4">
        <w:rPr>
          <w:bCs/>
          <w:sz w:val="24"/>
          <w:szCs w:val="24"/>
        </w:rPr>
        <w:tab/>
      </w:r>
      <w:r>
        <w:rPr>
          <w:bCs/>
          <w:sz w:val="24"/>
          <w:szCs w:val="24"/>
        </w:rPr>
        <w:t xml:space="preserve">    </w:t>
      </w:r>
      <w:r w:rsidR="00705964">
        <w:rPr>
          <w:bCs/>
          <w:sz w:val="24"/>
          <w:szCs w:val="24"/>
        </w:rPr>
        <w:t>(2013)</w:t>
      </w:r>
    </w:p>
    <w:p w:rsidR="001A63F9" w:rsidRPr="003A40F5" w:rsidRDefault="001A63F9" w:rsidP="00676225">
      <w:pPr>
        <w:tabs>
          <w:tab w:val="left" w:pos="1440"/>
        </w:tabs>
        <w:spacing w:after="0" w:line="240" w:lineRule="auto"/>
        <w:rPr>
          <w:bCs/>
          <w:sz w:val="24"/>
          <w:szCs w:val="24"/>
        </w:rPr>
      </w:pPr>
    </w:p>
    <w:p w:rsidR="006C5546" w:rsidRDefault="00664D97" w:rsidP="00664D97">
      <w:pPr>
        <w:tabs>
          <w:tab w:val="left" w:pos="1440"/>
        </w:tabs>
        <w:spacing w:after="0" w:line="240" w:lineRule="auto"/>
        <w:ind w:left="756"/>
        <w:rPr>
          <w:bCs/>
          <w:i/>
          <w:sz w:val="24"/>
          <w:szCs w:val="24"/>
        </w:rPr>
      </w:pPr>
      <w:r w:rsidRPr="00232892">
        <w:rPr>
          <w:bCs/>
          <w:sz w:val="24"/>
          <w:szCs w:val="24"/>
        </w:rPr>
        <w:t xml:space="preserve">Michelle Edgely, </w:t>
      </w:r>
      <w:r w:rsidRPr="00232892">
        <w:rPr>
          <w:bCs/>
          <w:i/>
          <w:sz w:val="24"/>
          <w:szCs w:val="24"/>
        </w:rPr>
        <w:t xml:space="preserve">Solution-Focused Court Programs for Mentally Impaired Offenders: </w:t>
      </w:r>
    </w:p>
    <w:p w:rsidR="00664D97" w:rsidRPr="00232892" w:rsidRDefault="006C5546" w:rsidP="00664D97">
      <w:pPr>
        <w:tabs>
          <w:tab w:val="left" w:pos="1440"/>
        </w:tabs>
        <w:spacing w:after="0" w:line="240" w:lineRule="auto"/>
        <w:ind w:left="756"/>
        <w:rPr>
          <w:bCs/>
          <w:sz w:val="24"/>
          <w:szCs w:val="24"/>
        </w:rPr>
      </w:pPr>
      <w:r>
        <w:rPr>
          <w:bCs/>
          <w:i/>
          <w:sz w:val="24"/>
          <w:szCs w:val="24"/>
        </w:rPr>
        <w:t xml:space="preserve"> </w:t>
      </w:r>
      <w:r w:rsidR="00BF31B4">
        <w:rPr>
          <w:bCs/>
          <w:i/>
          <w:sz w:val="24"/>
          <w:szCs w:val="24"/>
        </w:rPr>
        <w:tab/>
      </w:r>
      <w:r>
        <w:rPr>
          <w:bCs/>
          <w:i/>
          <w:sz w:val="24"/>
          <w:szCs w:val="24"/>
        </w:rPr>
        <w:t xml:space="preserve">     </w:t>
      </w:r>
      <w:r w:rsidR="00664D97" w:rsidRPr="00232892">
        <w:rPr>
          <w:bCs/>
          <w:i/>
          <w:sz w:val="24"/>
          <w:szCs w:val="24"/>
        </w:rPr>
        <w:t>What Works?</w:t>
      </w:r>
      <w:r w:rsidR="00664D97" w:rsidRPr="00232892">
        <w:rPr>
          <w:bCs/>
          <w:sz w:val="24"/>
          <w:szCs w:val="24"/>
        </w:rPr>
        <w:t>, 22 J. Jud. Admin. 208</w:t>
      </w:r>
      <w:r w:rsidR="00664D97" w:rsidRPr="00232892">
        <w:rPr>
          <w:bCs/>
          <w:i/>
          <w:sz w:val="24"/>
          <w:szCs w:val="24"/>
        </w:rPr>
        <w:t xml:space="preserve"> </w:t>
      </w:r>
      <w:r w:rsidR="00705964">
        <w:rPr>
          <w:bCs/>
          <w:sz w:val="24"/>
          <w:szCs w:val="24"/>
        </w:rPr>
        <w:t>(2013)</w:t>
      </w:r>
    </w:p>
    <w:p w:rsidR="00232892" w:rsidRPr="00232892" w:rsidRDefault="00232892" w:rsidP="00676225">
      <w:pPr>
        <w:tabs>
          <w:tab w:val="left" w:pos="1440"/>
        </w:tabs>
        <w:spacing w:after="0" w:line="240" w:lineRule="auto"/>
        <w:rPr>
          <w:bCs/>
          <w:sz w:val="24"/>
          <w:szCs w:val="24"/>
        </w:rPr>
      </w:pPr>
    </w:p>
    <w:p w:rsidR="00232892" w:rsidRPr="00232892" w:rsidRDefault="00664D97" w:rsidP="001A63F9">
      <w:pPr>
        <w:tabs>
          <w:tab w:val="left" w:pos="1440"/>
        </w:tabs>
        <w:spacing w:after="0" w:line="240" w:lineRule="auto"/>
        <w:ind w:left="756"/>
        <w:rPr>
          <w:bCs/>
          <w:sz w:val="24"/>
          <w:szCs w:val="24"/>
        </w:rPr>
      </w:pPr>
      <w:r w:rsidRPr="00232892">
        <w:rPr>
          <w:bCs/>
          <w:sz w:val="24"/>
          <w:szCs w:val="24"/>
        </w:rPr>
        <w:t xml:space="preserve">E. Lea Johnston, </w:t>
      </w:r>
      <w:r w:rsidRPr="00232892">
        <w:rPr>
          <w:bCs/>
          <w:i/>
          <w:sz w:val="24"/>
          <w:szCs w:val="24"/>
        </w:rPr>
        <w:t>Theorizing Mental Health Courts</w:t>
      </w:r>
      <w:r w:rsidRPr="00232892">
        <w:rPr>
          <w:bCs/>
          <w:sz w:val="24"/>
          <w:szCs w:val="24"/>
        </w:rPr>
        <w:t>,</w:t>
      </w:r>
      <w:r w:rsidR="00705964">
        <w:rPr>
          <w:bCs/>
          <w:sz w:val="24"/>
          <w:szCs w:val="24"/>
        </w:rPr>
        <w:t xml:space="preserve"> 89 Wash. U. L. Rev. 519 (2012)</w:t>
      </w:r>
    </w:p>
    <w:p w:rsidR="00232892" w:rsidRPr="00232892" w:rsidRDefault="00232892" w:rsidP="00676225">
      <w:pPr>
        <w:tabs>
          <w:tab w:val="left" w:pos="1440"/>
        </w:tabs>
        <w:spacing w:after="0" w:line="240" w:lineRule="auto"/>
        <w:rPr>
          <w:bCs/>
          <w:sz w:val="24"/>
          <w:szCs w:val="24"/>
        </w:rPr>
      </w:pPr>
    </w:p>
    <w:p w:rsidR="00BF31B4" w:rsidRDefault="00664D97" w:rsidP="00664D97">
      <w:pPr>
        <w:widowControl w:val="0"/>
        <w:autoSpaceDE w:val="0"/>
        <w:autoSpaceDN w:val="0"/>
        <w:adjustRightInd w:val="0"/>
        <w:spacing w:after="0" w:line="240" w:lineRule="auto"/>
        <w:ind w:left="720"/>
        <w:rPr>
          <w:i/>
          <w:sz w:val="24"/>
          <w:szCs w:val="24"/>
        </w:rPr>
      </w:pPr>
      <w:r w:rsidRPr="00232892">
        <w:rPr>
          <w:sz w:val="24"/>
          <w:szCs w:val="24"/>
        </w:rPr>
        <w:t xml:space="preserve">Judge Michael Daly Hawkins, </w:t>
      </w:r>
      <w:r w:rsidRPr="00232892">
        <w:rPr>
          <w:i/>
          <w:sz w:val="24"/>
          <w:szCs w:val="24"/>
        </w:rPr>
        <w:t>Coming Home: Accommodating t</w:t>
      </w:r>
      <w:r w:rsidR="00705964">
        <w:rPr>
          <w:i/>
          <w:sz w:val="24"/>
          <w:szCs w:val="24"/>
        </w:rPr>
        <w:t>he Special Needs of</w:t>
      </w:r>
    </w:p>
    <w:p w:rsidR="00664D97" w:rsidRPr="00232892" w:rsidRDefault="00664D97" w:rsidP="00BF31B4">
      <w:pPr>
        <w:widowControl w:val="0"/>
        <w:autoSpaceDE w:val="0"/>
        <w:autoSpaceDN w:val="0"/>
        <w:adjustRightInd w:val="0"/>
        <w:spacing w:after="0" w:line="240" w:lineRule="auto"/>
        <w:ind w:left="720" w:firstLine="720"/>
        <w:rPr>
          <w:sz w:val="24"/>
          <w:szCs w:val="24"/>
        </w:rPr>
      </w:pPr>
      <w:r w:rsidRPr="00232892">
        <w:rPr>
          <w:i/>
          <w:sz w:val="24"/>
          <w:szCs w:val="24"/>
        </w:rPr>
        <w:t>Military Veterans to the Criminal Justice System</w:t>
      </w:r>
      <w:r w:rsidRPr="00232892">
        <w:rPr>
          <w:sz w:val="24"/>
          <w:szCs w:val="24"/>
        </w:rPr>
        <w:t xml:space="preserve">, 7 </w:t>
      </w:r>
      <w:r w:rsidRPr="00232892">
        <w:rPr>
          <w:smallCaps/>
          <w:sz w:val="24"/>
          <w:szCs w:val="24"/>
        </w:rPr>
        <w:t>Ohio St. J. Crim. L.</w:t>
      </w:r>
      <w:r w:rsidRPr="00232892">
        <w:rPr>
          <w:sz w:val="24"/>
          <w:szCs w:val="24"/>
        </w:rPr>
        <w:t xml:space="preserve"> 563 (2010)</w:t>
      </w:r>
    </w:p>
    <w:bookmarkEnd w:id="0"/>
    <w:bookmarkEnd w:id="1"/>
    <w:p w:rsidR="00585EFA" w:rsidRDefault="00585EFA" w:rsidP="0028537A">
      <w:pPr>
        <w:tabs>
          <w:tab w:val="left" w:pos="1440"/>
        </w:tabs>
        <w:spacing w:after="0" w:line="240" w:lineRule="auto"/>
        <w:jc w:val="both"/>
        <w:rPr>
          <w:b/>
          <w:sz w:val="24"/>
          <w:szCs w:val="24"/>
        </w:rPr>
      </w:pPr>
    </w:p>
    <w:p w:rsidR="00585EFA" w:rsidRPr="003A40F5" w:rsidRDefault="00585EFA" w:rsidP="0028537A">
      <w:pPr>
        <w:tabs>
          <w:tab w:val="left" w:pos="1440"/>
        </w:tabs>
        <w:spacing w:after="0" w:line="240" w:lineRule="auto"/>
        <w:jc w:val="both"/>
        <w:rPr>
          <w:b/>
          <w:sz w:val="24"/>
          <w:szCs w:val="24"/>
        </w:rPr>
      </w:pPr>
    </w:p>
    <w:p w:rsidR="0007559E" w:rsidRPr="006410B9" w:rsidRDefault="007E7F7A" w:rsidP="00585EFA">
      <w:pPr>
        <w:tabs>
          <w:tab w:val="left" w:pos="1440"/>
        </w:tabs>
        <w:spacing w:after="0" w:line="240" w:lineRule="auto"/>
        <w:ind w:left="1800" w:hanging="1800"/>
        <w:jc w:val="both"/>
        <w:rPr>
          <w:sz w:val="24"/>
          <w:szCs w:val="24"/>
        </w:rPr>
      </w:pPr>
      <w:r w:rsidRPr="00585EFA">
        <w:rPr>
          <w:b/>
          <w:sz w:val="28"/>
          <w:szCs w:val="28"/>
        </w:rPr>
        <w:t xml:space="preserve">April </w:t>
      </w:r>
      <w:r w:rsidR="0028537A" w:rsidRPr="00585EFA">
        <w:rPr>
          <w:b/>
          <w:sz w:val="28"/>
          <w:szCs w:val="28"/>
        </w:rPr>
        <w:t>27</w:t>
      </w:r>
      <w:r w:rsidR="001A63F9" w:rsidRPr="00585EFA">
        <w:rPr>
          <w:b/>
          <w:sz w:val="28"/>
          <w:szCs w:val="28"/>
        </w:rPr>
        <w:t xml:space="preserve"> (</w:t>
      </w:r>
      <w:r w:rsidR="00D31417" w:rsidRPr="00585EFA">
        <w:rPr>
          <w:b/>
          <w:sz w:val="28"/>
          <w:szCs w:val="28"/>
        </w:rPr>
        <w:t xml:space="preserve">Class </w:t>
      </w:r>
      <w:r w:rsidR="009747A0" w:rsidRPr="00585EFA">
        <w:rPr>
          <w:b/>
          <w:sz w:val="28"/>
          <w:szCs w:val="28"/>
        </w:rPr>
        <w:t>1</w:t>
      </w:r>
      <w:r w:rsidR="008064D7" w:rsidRPr="00585EFA">
        <w:rPr>
          <w:b/>
          <w:sz w:val="28"/>
          <w:szCs w:val="28"/>
        </w:rPr>
        <w:t>2</w:t>
      </w:r>
      <w:r w:rsidR="00572093">
        <w:rPr>
          <w:b/>
          <w:sz w:val="28"/>
          <w:szCs w:val="28"/>
        </w:rPr>
        <w:t>)</w:t>
      </w:r>
      <w:r w:rsidR="00D31417" w:rsidRPr="00585EFA">
        <w:rPr>
          <w:b/>
          <w:sz w:val="28"/>
          <w:szCs w:val="28"/>
        </w:rPr>
        <w:t xml:space="preserve">: </w:t>
      </w:r>
      <w:r w:rsidR="00664D97" w:rsidRPr="00585EFA">
        <w:rPr>
          <w:b/>
          <w:sz w:val="28"/>
          <w:szCs w:val="28"/>
        </w:rPr>
        <w:t xml:space="preserve"> </w:t>
      </w:r>
      <w:r w:rsidR="00585EFA">
        <w:rPr>
          <w:b/>
          <w:sz w:val="28"/>
          <w:szCs w:val="28"/>
        </w:rPr>
        <w:t>“Open and Public Courts” and New Procedural Forms</w:t>
      </w:r>
      <w:r w:rsidR="00664D97" w:rsidRPr="00585EFA">
        <w:rPr>
          <w:b/>
          <w:sz w:val="28"/>
          <w:szCs w:val="28"/>
        </w:rPr>
        <w:t xml:space="preserve"> </w:t>
      </w:r>
    </w:p>
    <w:p w:rsidR="00A77FAF" w:rsidRDefault="006410B9" w:rsidP="006410B9">
      <w:pPr>
        <w:tabs>
          <w:tab w:val="left" w:pos="1440"/>
        </w:tabs>
        <w:spacing w:after="0" w:line="240" w:lineRule="auto"/>
        <w:jc w:val="both"/>
        <w:rPr>
          <w:sz w:val="24"/>
          <w:szCs w:val="24"/>
        </w:rPr>
      </w:pPr>
      <w:r>
        <w:rPr>
          <w:sz w:val="24"/>
          <w:szCs w:val="24"/>
        </w:rPr>
        <w:t xml:space="preserve">              </w:t>
      </w:r>
      <w:r w:rsidRPr="006410B9">
        <w:rPr>
          <w:sz w:val="24"/>
          <w:szCs w:val="24"/>
        </w:rPr>
        <w:t>What</w:t>
      </w:r>
      <w:r>
        <w:rPr>
          <w:sz w:val="24"/>
          <w:szCs w:val="24"/>
        </w:rPr>
        <w:t xml:space="preserve"> is the basis of the public’s right to watch court proceedings? </w:t>
      </w:r>
      <w:r w:rsidRPr="006410B9">
        <w:rPr>
          <w:sz w:val="24"/>
          <w:szCs w:val="24"/>
        </w:rPr>
        <w:t xml:space="preserve"> </w:t>
      </w:r>
      <w:r>
        <w:rPr>
          <w:sz w:val="24"/>
          <w:szCs w:val="24"/>
        </w:rPr>
        <w:t xml:space="preserve">Review the state constitutional excerpts from Connecticut and Alabama (class 1) and the relevant portions of the U.S. Constitution.   What is the test of what kinds of proceedings are open?  The reasons why law insists on openness? </w:t>
      </w:r>
      <w:r w:rsidR="00A77FAF">
        <w:rPr>
          <w:sz w:val="24"/>
          <w:szCs w:val="24"/>
        </w:rPr>
        <w:t xml:space="preserve"> Is the view of th</w:t>
      </w:r>
      <w:r w:rsidR="00705964">
        <w:rPr>
          <w:sz w:val="24"/>
          <w:szCs w:val="24"/>
        </w:rPr>
        <w:t>e need for openness different if</w:t>
      </w:r>
      <w:r w:rsidR="00A77FAF">
        <w:rPr>
          <w:sz w:val="24"/>
          <w:szCs w:val="24"/>
        </w:rPr>
        <w:t xml:space="preserve"> adjudication takes place in democratic or non</w:t>
      </w:r>
      <w:r w:rsidR="00676225">
        <w:rPr>
          <w:sz w:val="24"/>
          <w:szCs w:val="24"/>
        </w:rPr>
        <w:t>-democratic political regimes?</w:t>
      </w:r>
    </w:p>
    <w:p w:rsidR="00A77FAF" w:rsidRDefault="00A77FAF" w:rsidP="006410B9">
      <w:pPr>
        <w:tabs>
          <w:tab w:val="left" w:pos="1440"/>
        </w:tabs>
        <w:spacing w:after="0" w:line="240" w:lineRule="auto"/>
        <w:jc w:val="both"/>
        <w:rPr>
          <w:sz w:val="24"/>
          <w:szCs w:val="24"/>
        </w:rPr>
      </w:pPr>
    </w:p>
    <w:p w:rsidR="006410B9" w:rsidRPr="006410B9" w:rsidRDefault="00A77FAF" w:rsidP="006410B9">
      <w:pPr>
        <w:tabs>
          <w:tab w:val="left" w:pos="1440"/>
        </w:tabs>
        <w:spacing w:after="0" w:line="240" w:lineRule="auto"/>
        <w:jc w:val="both"/>
        <w:rPr>
          <w:sz w:val="24"/>
          <w:szCs w:val="24"/>
        </w:rPr>
      </w:pPr>
      <w:r>
        <w:rPr>
          <w:sz w:val="24"/>
          <w:szCs w:val="24"/>
        </w:rPr>
        <w:lastRenderedPageBreak/>
        <w:t xml:space="preserve">             Consider also t</w:t>
      </w:r>
      <w:r w:rsidR="006410B9">
        <w:rPr>
          <w:sz w:val="24"/>
          <w:szCs w:val="24"/>
        </w:rPr>
        <w:t>he justifications for closure</w:t>
      </w:r>
      <w:r>
        <w:rPr>
          <w:sz w:val="24"/>
          <w:szCs w:val="24"/>
        </w:rPr>
        <w:t xml:space="preserve">. </w:t>
      </w:r>
      <w:r w:rsidR="00676225">
        <w:rPr>
          <w:sz w:val="24"/>
          <w:szCs w:val="24"/>
        </w:rPr>
        <w:t xml:space="preserve"> </w:t>
      </w:r>
      <w:r w:rsidR="006410B9">
        <w:rPr>
          <w:sz w:val="24"/>
          <w:szCs w:val="24"/>
        </w:rPr>
        <w:t xml:space="preserve">Who are the proponents of confidentiality and why?   Further, </w:t>
      </w:r>
      <w:r w:rsidR="00705964">
        <w:rPr>
          <w:sz w:val="24"/>
          <w:szCs w:val="24"/>
        </w:rPr>
        <w:t>how d</w:t>
      </w:r>
      <w:r>
        <w:rPr>
          <w:sz w:val="24"/>
          <w:szCs w:val="24"/>
        </w:rPr>
        <w:t xml:space="preserve">o mandates for open </w:t>
      </w:r>
      <w:r w:rsidR="006410B9">
        <w:rPr>
          <w:sz w:val="24"/>
          <w:szCs w:val="24"/>
        </w:rPr>
        <w:t>process</w:t>
      </w:r>
      <w:r>
        <w:rPr>
          <w:sz w:val="24"/>
          <w:szCs w:val="24"/>
        </w:rPr>
        <w:t xml:space="preserve"> apply, or not,</w:t>
      </w:r>
      <w:r w:rsidR="006410B9">
        <w:rPr>
          <w:sz w:val="24"/>
          <w:szCs w:val="24"/>
        </w:rPr>
        <w:t xml:space="preserve"> to the procedural innovations we have discussed? </w:t>
      </w:r>
      <w:r>
        <w:rPr>
          <w:sz w:val="24"/>
          <w:szCs w:val="24"/>
        </w:rPr>
        <w:t xml:space="preserve"> What impact does openness have on </w:t>
      </w:r>
      <w:r w:rsidR="006410B9">
        <w:rPr>
          <w:sz w:val="24"/>
          <w:szCs w:val="24"/>
        </w:rPr>
        <w:t>funding of courts</w:t>
      </w:r>
      <w:r w:rsidR="00705964">
        <w:rPr>
          <w:sz w:val="24"/>
          <w:szCs w:val="24"/>
        </w:rPr>
        <w:t xml:space="preserve"> and the authority of judges?  </w:t>
      </w:r>
      <w:r w:rsidR="006410B9">
        <w:rPr>
          <w:sz w:val="24"/>
          <w:szCs w:val="24"/>
        </w:rPr>
        <w:t>How do technological changes affect the balance of openness and privacy?  Has the understanding of the functions of “publicity” broadened or</w:t>
      </w:r>
      <w:r>
        <w:rPr>
          <w:sz w:val="24"/>
          <w:szCs w:val="24"/>
        </w:rPr>
        <w:t xml:space="preserve"> changed</w:t>
      </w:r>
      <w:r w:rsidR="00705964">
        <w:rPr>
          <w:sz w:val="24"/>
          <w:szCs w:val="24"/>
        </w:rPr>
        <w:t xml:space="preserve"> </w:t>
      </w:r>
      <w:r w:rsidR="006410B9">
        <w:rPr>
          <w:sz w:val="24"/>
          <w:szCs w:val="24"/>
        </w:rPr>
        <w:t xml:space="preserve">since Bentham’s analysis? </w:t>
      </w:r>
      <w:r>
        <w:rPr>
          <w:sz w:val="24"/>
          <w:szCs w:val="24"/>
        </w:rPr>
        <w:t xml:space="preserve"> Please use these questions to reflect</w:t>
      </w:r>
      <w:r w:rsidR="00705964">
        <w:rPr>
          <w:sz w:val="24"/>
          <w:szCs w:val="24"/>
        </w:rPr>
        <w:t xml:space="preserve"> on the themes of the semester.</w:t>
      </w:r>
    </w:p>
    <w:p w:rsidR="006410B9" w:rsidRPr="006410B9" w:rsidRDefault="006410B9" w:rsidP="006410B9">
      <w:pPr>
        <w:tabs>
          <w:tab w:val="left" w:pos="1440"/>
        </w:tabs>
        <w:spacing w:after="0" w:line="240" w:lineRule="auto"/>
        <w:jc w:val="both"/>
        <w:rPr>
          <w:sz w:val="24"/>
          <w:szCs w:val="24"/>
        </w:rPr>
      </w:pPr>
    </w:p>
    <w:p w:rsidR="0007559E" w:rsidRDefault="00543D39" w:rsidP="0007559E">
      <w:pPr>
        <w:tabs>
          <w:tab w:val="left" w:pos="720"/>
          <w:tab w:val="left" w:pos="1440"/>
        </w:tabs>
        <w:autoSpaceDE w:val="0"/>
        <w:autoSpaceDN w:val="0"/>
        <w:adjustRightInd w:val="0"/>
        <w:spacing w:after="0" w:line="240" w:lineRule="auto"/>
        <w:rPr>
          <w:rFonts w:eastAsiaTheme="minorHAnsi" w:cs="Times New Roman"/>
          <w:sz w:val="24"/>
          <w:szCs w:val="24"/>
        </w:rPr>
      </w:pPr>
      <w:r>
        <w:rPr>
          <w:rFonts w:eastAsiaTheme="minorHAnsi" w:cs="Times New Roman"/>
          <w:sz w:val="24"/>
          <w:szCs w:val="24"/>
        </w:rPr>
        <w:tab/>
      </w:r>
      <w:r w:rsidRPr="00543D39">
        <w:rPr>
          <w:rFonts w:eastAsiaTheme="minorHAnsi" w:cs="Times New Roman"/>
          <w:i/>
          <w:sz w:val="24"/>
          <w:szCs w:val="24"/>
        </w:rPr>
        <w:t>Richmond Newspapers Inc. v. Virginia</w:t>
      </w:r>
      <w:r>
        <w:rPr>
          <w:rFonts w:eastAsiaTheme="minorHAnsi" w:cs="Times New Roman"/>
          <w:sz w:val="24"/>
          <w:szCs w:val="24"/>
        </w:rPr>
        <w:t>, 448 U.S. 555 (1980)</w:t>
      </w:r>
    </w:p>
    <w:p w:rsidR="00543D39" w:rsidRDefault="00543D39" w:rsidP="0007559E">
      <w:pPr>
        <w:tabs>
          <w:tab w:val="left" w:pos="720"/>
          <w:tab w:val="left" w:pos="1440"/>
        </w:tabs>
        <w:autoSpaceDE w:val="0"/>
        <w:autoSpaceDN w:val="0"/>
        <w:adjustRightInd w:val="0"/>
        <w:spacing w:after="0" w:line="240" w:lineRule="auto"/>
        <w:rPr>
          <w:rFonts w:eastAsiaTheme="minorHAnsi" w:cs="Times New Roman"/>
          <w:sz w:val="24"/>
          <w:szCs w:val="24"/>
        </w:rPr>
      </w:pPr>
    </w:p>
    <w:p w:rsidR="00202881" w:rsidRDefault="00543D39" w:rsidP="0007559E">
      <w:pPr>
        <w:tabs>
          <w:tab w:val="left" w:pos="720"/>
          <w:tab w:val="left" w:pos="1440"/>
        </w:tabs>
        <w:autoSpaceDE w:val="0"/>
        <w:autoSpaceDN w:val="0"/>
        <w:adjustRightInd w:val="0"/>
        <w:spacing w:after="0" w:line="240" w:lineRule="auto"/>
        <w:rPr>
          <w:rFonts w:eastAsiaTheme="minorHAnsi" w:cs="Times New Roman"/>
          <w:sz w:val="24"/>
          <w:szCs w:val="24"/>
        </w:rPr>
      </w:pPr>
      <w:r>
        <w:rPr>
          <w:rFonts w:eastAsiaTheme="minorHAnsi" w:cs="Times New Roman"/>
          <w:sz w:val="24"/>
          <w:szCs w:val="24"/>
        </w:rPr>
        <w:tab/>
      </w:r>
      <w:r w:rsidR="00E655DD" w:rsidRPr="00E655DD">
        <w:rPr>
          <w:rFonts w:eastAsiaTheme="minorHAnsi" w:cs="Times New Roman"/>
          <w:i/>
          <w:sz w:val="24"/>
          <w:szCs w:val="24"/>
        </w:rPr>
        <w:t>The Hartford C</w:t>
      </w:r>
      <w:r w:rsidR="00202881" w:rsidRPr="00E655DD">
        <w:rPr>
          <w:rFonts w:eastAsiaTheme="minorHAnsi" w:cs="Times New Roman"/>
          <w:i/>
          <w:sz w:val="24"/>
          <w:szCs w:val="24"/>
        </w:rPr>
        <w:t>ourant</w:t>
      </w:r>
      <w:r w:rsidR="00E655DD" w:rsidRPr="00E655DD">
        <w:rPr>
          <w:rFonts w:eastAsiaTheme="minorHAnsi" w:cs="Times New Roman"/>
          <w:i/>
          <w:sz w:val="24"/>
          <w:szCs w:val="24"/>
        </w:rPr>
        <w:t xml:space="preserve"> Company</w:t>
      </w:r>
      <w:r w:rsidR="00202881" w:rsidRPr="00E655DD">
        <w:rPr>
          <w:rFonts w:eastAsiaTheme="minorHAnsi" w:cs="Times New Roman"/>
          <w:i/>
          <w:sz w:val="24"/>
          <w:szCs w:val="24"/>
        </w:rPr>
        <w:t xml:space="preserve"> </w:t>
      </w:r>
      <w:r w:rsidR="00E655DD" w:rsidRPr="00E655DD">
        <w:rPr>
          <w:rFonts w:eastAsiaTheme="minorHAnsi" w:cs="Times New Roman"/>
          <w:i/>
          <w:sz w:val="24"/>
          <w:szCs w:val="24"/>
        </w:rPr>
        <w:t>v. Pellegrino</w:t>
      </w:r>
      <w:r w:rsidR="00E655DD">
        <w:rPr>
          <w:rFonts w:eastAsiaTheme="minorHAnsi" w:cs="Times New Roman"/>
          <w:sz w:val="24"/>
          <w:szCs w:val="24"/>
        </w:rPr>
        <w:t>, 380 F.3d 83 (2d Cir. 2004)</w:t>
      </w:r>
    </w:p>
    <w:p w:rsidR="00585EFA" w:rsidRDefault="00585EFA" w:rsidP="00585EFA">
      <w:pPr>
        <w:tabs>
          <w:tab w:val="left" w:pos="720"/>
          <w:tab w:val="left" w:pos="1440"/>
        </w:tabs>
        <w:autoSpaceDE w:val="0"/>
        <w:autoSpaceDN w:val="0"/>
        <w:adjustRightInd w:val="0"/>
        <w:spacing w:after="0" w:line="240" w:lineRule="auto"/>
        <w:rPr>
          <w:rFonts w:eastAsiaTheme="minorHAnsi" w:cs="Times New Roman"/>
          <w:sz w:val="24"/>
          <w:szCs w:val="24"/>
        </w:rPr>
      </w:pPr>
    </w:p>
    <w:p w:rsidR="00585EFA" w:rsidRDefault="00623A8F" w:rsidP="00623A8F">
      <w:pPr>
        <w:tabs>
          <w:tab w:val="left" w:pos="720"/>
          <w:tab w:val="left" w:pos="1440"/>
        </w:tabs>
        <w:autoSpaceDE w:val="0"/>
        <w:autoSpaceDN w:val="0"/>
        <w:adjustRightInd w:val="0"/>
        <w:spacing w:after="0" w:line="240" w:lineRule="auto"/>
        <w:ind w:left="720"/>
        <w:rPr>
          <w:rFonts w:eastAsiaTheme="minorHAnsi" w:cs="Times New Roman"/>
          <w:sz w:val="24"/>
          <w:szCs w:val="24"/>
        </w:rPr>
      </w:pPr>
      <w:r>
        <w:rPr>
          <w:rFonts w:eastAsiaTheme="minorHAnsi" w:cs="Times New Roman"/>
          <w:i/>
          <w:sz w:val="24"/>
          <w:szCs w:val="24"/>
        </w:rPr>
        <w:t>N.Y.C.L.U.</w:t>
      </w:r>
      <w:r w:rsidR="00E655DD" w:rsidRPr="00E655DD">
        <w:rPr>
          <w:rFonts w:eastAsiaTheme="minorHAnsi" w:cs="Times New Roman"/>
          <w:i/>
          <w:sz w:val="24"/>
          <w:szCs w:val="24"/>
        </w:rPr>
        <w:t xml:space="preserve"> v. New York City Transit Authority</w:t>
      </w:r>
      <w:r w:rsidR="00E655DD">
        <w:rPr>
          <w:rFonts w:eastAsiaTheme="minorHAnsi" w:cs="Times New Roman"/>
          <w:sz w:val="24"/>
          <w:szCs w:val="24"/>
        </w:rPr>
        <w:t>, 684 F.3d 286 (2d Cir. 2011)</w:t>
      </w:r>
    </w:p>
    <w:p w:rsidR="00585EFA" w:rsidRDefault="00585EFA" w:rsidP="00585EFA">
      <w:pPr>
        <w:tabs>
          <w:tab w:val="left" w:pos="720"/>
          <w:tab w:val="left" w:pos="1440"/>
        </w:tabs>
        <w:autoSpaceDE w:val="0"/>
        <w:autoSpaceDN w:val="0"/>
        <w:adjustRightInd w:val="0"/>
        <w:spacing w:after="0" w:line="240" w:lineRule="auto"/>
        <w:rPr>
          <w:rFonts w:eastAsiaTheme="minorHAnsi" w:cs="Times New Roman"/>
          <w:sz w:val="24"/>
          <w:szCs w:val="24"/>
        </w:rPr>
      </w:pPr>
    </w:p>
    <w:p w:rsidR="00202881" w:rsidRDefault="00585EFA" w:rsidP="0007559E">
      <w:pPr>
        <w:tabs>
          <w:tab w:val="left" w:pos="720"/>
          <w:tab w:val="left" w:pos="1440"/>
        </w:tabs>
        <w:autoSpaceDE w:val="0"/>
        <w:autoSpaceDN w:val="0"/>
        <w:adjustRightInd w:val="0"/>
        <w:spacing w:after="0" w:line="240" w:lineRule="auto"/>
        <w:rPr>
          <w:rFonts w:eastAsiaTheme="minorHAnsi" w:cs="Times New Roman"/>
          <w:sz w:val="24"/>
          <w:szCs w:val="24"/>
        </w:rPr>
      </w:pPr>
      <w:r>
        <w:rPr>
          <w:rFonts w:eastAsiaTheme="minorHAnsi" w:cs="Times New Roman"/>
          <w:sz w:val="24"/>
          <w:szCs w:val="24"/>
        </w:rPr>
        <w:tab/>
      </w:r>
      <w:r w:rsidR="00623A8F" w:rsidRPr="00623A8F">
        <w:rPr>
          <w:rFonts w:eastAsiaTheme="minorHAnsi" w:cs="Times New Roman"/>
          <w:i/>
          <w:sz w:val="24"/>
          <w:szCs w:val="24"/>
        </w:rPr>
        <w:t>United States v. Erie County, New York, v. N.Y.C.L.U</w:t>
      </w:r>
      <w:r w:rsidR="00623A8F">
        <w:rPr>
          <w:rFonts w:eastAsiaTheme="minorHAnsi" w:cs="Times New Roman"/>
          <w:sz w:val="24"/>
          <w:szCs w:val="24"/>
        </w:rPr>
        <w:t>, 763 F.3d 235 (2d Cir. 2014)</w:t>
      </w:r>
    </w:p>
    <w:p w:rsidR="00F847CD" w:rsidRDefault="00F847CD" w:rsidP="0007559E">
      <w:pPr>
        <w:tabs>
          <w:tab w:val="left" w:pos="720"/>
          <w:tab w:val="left" w:pos="1440"/>
        </w:tabs>
        <w:autoSpaceDE w:val="0"/>
        <w:autoSpaceDN w:val="0"/>
        <w:adjustRightInd w:val="0"/>
        <w:spacing w:after="0" w:line="240" w:lineRule="auto"/>
        <w:rPr>
          <w:rFonts w:eastAsiaTheme="minorHAnsi" w:cs="Times New Roman"/>
          <w:sz w:val="24"/>
          <w:szCs w:val="24"/>
        </w:rPr>
      </w:pPr>
    </w:p>
    <w:p w:rsidR="00202881" w:rsidRDefault="00F847CD" w:rsidP="0007559E">
      <w:pPr>
        <w:tabs>
          <w:tab w:val="left" w:pos="720"/>
          <w:tab w:val="left" w:pos="1440"/>
        </w:tabs>
        <w:autoSpaceDE w:val="0"/>
        <w:autoSpaceDN w:val="0"/>
        <w:adjustRightInd w:val="0"/>
        <w:spacing w:after="0" w:line="240" w:lineRule="auto"/>
        <w:rPr>
          <w:rFonts w:eastAsiaTheme="minorHAnsi" w:cs="Times New Roman"/>
          <w:sz w:val="24"/>
          <w:szCs w:val="24"/>
        </w:rPr>
      </w:pPr>
      <w:r>
        <w:rPr>
          <w:rFonts w:eastAsiaTheme="minorHAnsi" w:cs="Times New Roman"/>
          <w:sz w:val="24"/>
          <w:szCs w:val="24"/>
        </w:rPr>
        <w:tab/>
      </w:r>
      <w:r w:rsidR="00623A8F" w:rsidRPr="00623A8F">
        <w:rPr>
          <w:rFonts w:eastAsiaTheme="minorHAnsi" w:cs="Times New Roman"/>
          <w:i/>
          <w:sz w:val="24"/>
          <w:szCs w:val="24"/>
        </w:rPr>
        <w:t>Delaware Coalition for Open Government, Inc. v. Strine</w:t>
      </w:r>
      <w:r w:rsidR="00623A8F">
        <w:rPr>
          <w:rFonts w:eastAsiaTheme="minorHAnsi" w:cs="Times New Roman"/>
          <w:sz w:val="24"/>
          <w:szCs w:val="24"/>
        </w:rPr>
        <w:t>, 733 F.3d 510 (3d Cir. 2013)</w:t>
      </w:r>
    </w:p>
    <w:p w:rsidR="00031C53" w:rsidRDefault="00031C53" w:rsidP="00031C53">
      <w:pPr>
        <w:spacing w:after="0" w:line="240" w:lineRule="auto"/>
        <w:contextualSpacing/>
        <w:jc w:val="both"/>
        <w:rPr>
          <w:sz w:val="24"/>
          <w:szCs w:val="24"/>
        </w:rPr>
      </w:pPr>
    </w:p>
    <w:p w:rsidR="00DA341D" w:rsidRPr="00DA341D" w:rsidRDefault="00E655DD" w:rsidP="00DA341D">
      <w:pPr>
        <w:spacing w:after="0" w:line="240" w:lineRule="auto"/>
        <w:ind w:left="720"/>
        <w:contextualSpacing/>
        <w:jc w:val="both"/>
        <w:rPr>
          <w:i/>
          <w:sz w:val="24"/>
          <w:szCs w:val="24"/>
        </w:rPr>
      </w:pPr>
      <w:r>
        <w:rPr>
          <w:sz w:val="24"/>
          <w:szCs w:val="24"/>
        </w:rPr>
        <w:t>Jerem</w:t>
      </w:r>
      <w:r w:rsidR="00585EFA">
        <w:rPr>
          <w:sz w:val="24"/>
          <w:szCs w:val="24"/>
        </w:rPr>
        <w:t>y Bentham</w:t>
      </w:r>
      <w:r w:rsidR="00DA341D">
        <w:rPr>
          <w:sz w:val="24"/>
          <w:szCs w:val="24"/>
        </w:rPr>
        <w:t xml:space="preserve">, </w:t>
      </w:r>
      <w:r w:rsidR="00DA341D" w:rsidRPr="00DA341D">
        <w:rPr>
          <w:i/>
          <w:sz w:val="24"/>
          <w:szCs w:val="24"/>
        </w:rPr>
        <w:t>Of Publicity and Privacy, As Applied to</w:t>
      </w:r>
      <w:r w:rsidR="00705964">
        <w:rPr>
          <w:i/>
          <w:sz w:val="24"/>
          <w:szCs w:val="24"/>
        </w:rPr>
        <w:t xml:space="preserve"> Judicature in General, and to</w:t>
      </w:r>
    </w:p>
    <w:p w:rsidR="003D476E" w:rsidRDefault="00DA341D" w:rsidP="00BF31B4">
      <w:pPr>
        <w:spacing w:after="0" w:line="240" w:lineRule="auto"/>
        <w:ind w:left="1440" w:firstLine="60"/>
        <w:contextualSpacing/>
        <w:jc w:val="both"/>
        <w:rPr>
          <w:sz w:val="24"/>
          <w:szCs w:val="24"/>
        </w:rPr>
      </w:pPr>
      <w:r w:rsidRPr="00DA341D">
        <w:rPr>
          <w:i/>
          <w:sz w:val="24"/>
          <w:szCs w:val="24"/>
        </w:rPr>
        <w:t>the Collection of the Evidence in Particular</w:t>
      </w:r>
      <w:r>
        <w:rPr>
          <w:sz w:val="24"/>
          <w:szCs w:val="24"/>
        </w:rPr>
        <w:t>, in Rationale of Judicial Evidence (1872)</w:t>
      </w:r>
    </w:p>
    <w:p w:rsidR="00DA341D" w:rsidRDefault="00DA341D" w:rsidP="00031C53">
      <w:pPr>
        <w:spacing w:after="0" w:line="240" w:lineRule="auto"/>
        <w:contextualSpacing/>
        <w:jc w:val="both"/>
        <w:rPr>
          <w:sz w:val="24"/>
          <w:szCs w:val="24"/>
        </w:rPr>
      </w:pPr>
    </w:p>
    <w:p w:rsidR="00031C53" w:rsidRDefault="00031C53" w:rsidP="00031C53">
      <w:pPr>
        <w:spacing w:after="0" w:line="240" w:lineRule="auto"/>
        <w:contextualSpacing/>
        <w:jc w:val="both"/>
        <w:rPr>
          <w:sz w:val="24"/>
          <w:szCs w:val="24"/>
        </w:rPr>
      </w:pPr>
    </w:p>
    <w:p w:rsidR="00FE35D6" w:rsidRDefault="00FE35D6" w:rsidP="00031C53">
      <w:pPr>
        <w:spacing w:after="0" w:line="240" w:lineRule="auto"/>
        <w:contextualSpacing/>
        <w:jc w:val="both"/>
        <w:rPr>
          <w:sz w:val="24"/>
          <w:szCs w:val="24"/>
        </w:rPr>
      </w:pPr>
    </w:p>
    <w:p w:rsidR="00FE35D6" w:rsidRDefault="00FE35D6" w:rsidP="00031C53">
      <w:pPr>
        <w:spacing w:after="0" w:line="240" w:lineRule="auto"/>
        <w:contextualSpacing/>
        <w:jc w:val="both"/>
        <w:rPr>
          <w:sz w:val="24"/>
          <w:szCs w:val="24"/>
        </w:rPr>
      </w:pPr>
    </w:p>
    <w:p w:rsidR="00031C53" w:rsidRPr="006C5546" w:rsidRDefault="00FE35D6" w:rsidP="00031C53">
      <w:pPr>
        <w:spacing w:after="0" w:line="240" w:lineRule="auto"/>
        <w:contextualSpacing/>
        <w:jc w:val="both"/>
        <w:rPr>
          <w:sz w:val="24"/>
          <w:szCs w:val="24"/>
        </w:rPr>
      </w:pPr>
      <w:r w:rsidRPr="006C5546">
        <w:rPr>
          <w:sz w:val="24"/>
          <w:szCs w:val="24"/>
        </w:rPr>
        <w:t>Additional Resources</w:t>
      </w:r>
      <w:r w:rsidR="00031C53" w:rsidRPr="006C5546">
        <w:rPr>
          <w:sz w:val="24"/>
          <w:szCs w:val="24"/>
        </w:rPr>
        <w:t xml:space="preserve"> </w:t>
      </w:r>
    </w:p>
    <w:p w:rsidR="00C351F8" w:rsidRDefault="006410B9" w:rsidP="00C351F8">
      <w:pPr>
        <w:spacing w:after="0"/>
        <w:ind w:left="720"/>
        <w:rPr>
          <w:sz w:val="24"/>
          <w:szCs w:val="24"/>
        </w:rPr>
      </w:pPr>
      <w:r w:rsidRPr="006C5546">
        <w:rPr>
          <w:sz w:val="24"/>
          <w:szCs w:val="24"/>
        </w:rPr>
        <w:t xml:space="preserve">Access to Justice Task Forces: </w:t>
      </w:r>
    </w:p>
    <w:p w:rsidR="006410B9" w:rsidRDefault="00C06956" w:rsidP="00C351F8">
      <w:pPr>
        <w:spacing w:after="0"/>
        <w:ind w:left="1440"/>
        <w:rPr>
          <w:color w:val="1F497D"/>
        </w:rPr>
      </w:pPr>
      <w:hyperlink r:id="rId18" w:history="1">
        <w:r w:rsidR="00C351F8" w:rsidRPr="00DB03EF">
          <w:rPr>
            <w:rStyle w:val="Hyperlink"/>
            <w:sz w:val="24"/>
            <w:szCs w:val="24"/>
          </w:rPr>
          <w:t>http://www.americanbar.org/groups/legal_aid_indigent_defendants/initiatives/resource_center_for_access_to_justice/state_atj_commissions.html</w:t>
        </w:r>
      </w:hyperlink>
      <w:r w:rsidR="006410B9">
        <w:rPr>
          <w:color w:val="1F497D"/>
        </w:rPr>
        <w:t> </w:t>
      </w:r>
    </w:p>
    <w:p w:rsidR="00C351F8" w:rsidRPr="006C5546" w:rsidRDefault="00C351F8" w:rsidP="00676225">
      <w:pPr>
        <w:spacing w:after="0"/>
        <w:rPr>
          <w:sz w:val="24"/>
          <w:szCs w:val="24"/>
        </w:rPr>
      </w:pPr>
    </w:p>
    <w:p w:rsidR="006410B9" w:rsidRPr="006410B9" w:rsidRDefault="006410B9" w:rsidP="006410B9">
      <w:pPr>
        <w:spacing w:line="240" w:lineRule="auto"/>
        <w:rPr>
          <w:sz w:val="24"/>
          <w:szCs w:val="24"/>
        </w:rPr>
      </w:pPr>
      <w:r w:rsidRPr="006410B9">
        <w:tab/>
      </w:r>
      <w:r w:rsidRPr="006410B9">
        <w:rPr>
          <w:sz w:val="24"/>
          <w:szCs w:val="24"/>
        </w:rPr>
        <w:t>Accessing Justice, Rationing Law (15</w:t>
      </w:r>
      <w:r w:rsidRPr="006410B9">
        <w:rPr>
          <w:sz w:val="24"/>
          <w:szCs w:val="24"/>
          <w:vertAlign w:val="superscript"/>
        </w:rPr>
        <w:t>th</w:t>
      </w:r>
      <w:r w:rsidRPr="006410B9">
        <w:rPr>
          <w:sz w:val="24"/>
          <w:szCs w:val="24"/>
        </w:rPr>
        <w:t xml:space="preserve"> annual Liman Colloquium, March, 2012)</w:t>
      </w:r>
    </w:p>
    <w:p w:rsidR="00C351F8" w:rsidRDefault="006410B9" w:rsidP="00C351F8">
      <w:pPr>
        <w:spacing w:after="0" w:line="240" w:lineRule="auto"/>
        <w:ind w:left="720"/>
        <w:rPr>
          <w:sz w:val="24"/>
          <w:szCs w:val="24"/>
        </w:rPr>
      </w:pPr>
      <w:r w:rsidRPr="006410B9">
        <w:rPr>
          <w:sz w:val="24"/>
          <w:szCs w:val="24"/>
        </w:rPr>
        <w:t xml:space="preserve">Rabeea Assy, </w:t>
      </w:r>
      <w:r w:rsidRPr="00C351F8">
        <w:rPr>
          <w:i/>
          <w:sz w:val="24"/>
          <w:szCs w:val="24"/>
        </w:rPr>
        <w:t>Injustice in Person: The Right to Self- Representation</w:t>
      </w:r>
      <w:r>
        <w:rPr>
          <w:sz w:val="24"/>
          <w:szCs w:val="24"/>
        </w:rPr>
        <w:t xml:space="preserve"> </w:t>
      </w:r>
      <w:r w:rsidR="00705964">
        <w:rPr>
          <w:sz w:val="24"/>
          <w:szCs w:val="24"/>
        </w:rPr>
        <w:t>(forthcoming OUP,</w:t>
      </w:r>
    </w:p>
    <w:p w:rsidR="006410B9" w:rsidRDefault="006410B9" w:rsidP="00C351F8">
      <w:pPr>
        <w:spacing w:after="0" w:line="240" w:lineRule="auto"/>
        <w:ind w:left="720" w:firstLine="720"/>
        <w:rPr>
          <w:sz w:val="24"/>
          <w:szCs w:val="24"/>
        </w:rPr>
      </w:pPr>
      <w:r w:rsidRPr="006410B9">
        <w:rPr>
          <w:sz w:val="24"/>
          <w:szCs w:val="24"/>
        </w:rPr>
        <w:t xml:space="preserve">2015) on reserve </w:t>
      </w:r>
    </w:p>
    <w:p w:rsidR="00C351F8" w:rsidRPr="006410B9" w:rsidRDefault="00C351F8" w:rsidP="00676225">
      <w:pPr>
        <w:spacing w:after="0" w:line="240" w:lineRule="auto"/>
        <w:rPr>
          <w:sz w:val="24"/>
          <w:szCs w:val="24"/>
        </w:rPr>
      </w:pPr>
    </w:p>
    <w:p w:rsidR="00031C53" w:rsidRPr="006C5546" w:rsidRDefault="006410B9" w:rsidP="00031C53">
      <w:pPr>
        <w:tabs>
          <w:tab w:val="left" w:pos="720"/>
          <w:tab w:val="left" w:pos="1440"/>
        </w:tabs>
        <w:spacing w:after="0" w:line="240" w:lineRule="auto"/>
        <w:ind w:left="1440" w:hanging="1440"/>
        <w:contextualSpacing/>
        <w:rPr>
          <w:bCs/>
          <w:sz w:val="24"/>
          <w:szCs w:val="24"/>
        </w:rPr>
      </w:pPr>
      <w:r>
        <w:rPr>
          <w:bCs/>
          <w:sz w:val="24"/>
          <w:szCs w:val="24"/>
        </w:rPr>
        <w:tab/>
      </w:r>
      <w:r w:rsidR="00031C53" w:rsidRPr="006C5546">
        <w:rPr>
          <w:bCs/>
          <w:sz w:val="24"/>
          <w:szCs w:val="24"/>
        </w:rPr>
        <w:t xml:space="preserve">Legal Services Corporation Act, 42 U.S.C. § 2996e; </w:t>
      </w:r>
      <w:r w:rsidR="00031C53" w:rsidRPr="006C5546">
        <w:rPr>
          <w:bCs/>
          <w:i/>
          <w:sz w:val="24"/>
          <w:szCs w:val="24"/>
        </w:rPr>
        <w:t>see also</w:t>
      </w:r>
      <w:r w:rsidR="00031C53" w:rsidRPr="006C5546">
        <w:rPr>
          <w:bCs/>
          <w:sz w:val="24"/>
          <w:szCs w:val="24"/>
        </w:rPr>
        <w:t xml:space="preserve"> 45 C.F.R. 1611.1, 1611.4 &amp; Appendix A (financial eligibility requirements) </w:t>
      </w:r>
    </w:p>
    <w:p w:rsidR="00031C53" w:rsidRDefault="00031C53" w:rsidP="00031C53">
      <w:pPr>
        <w:tabs>
          <w:tab w:val="left" w:pos="720"/>
          <w:tab w:val="left" w:pos="1440"/>
        </w:tabs>
        <w:spacing w:after="0" w:line="240" w:lineRule="auto"/>
        <w:ind w:left="1440" w:hanging="1440"/>
        <w:contextualSpacing/>
        <w:rPr>
          <w:bCs/>
          <w:sz w:val="24"/>
          <w:szCs w:val="24"/>
        </w:rPr>
      </w:pPr>
    </w:p>
    <w:p w:rsidR="006410B9" w:rsidRDefault="006410B9" w:rsidP="00031C53">
      <w:pPr>
        <w:tabs>
          <w:tab w:val="left" w:pos="720"/>
          <w:tab w:val="left" w:pos="1440"/>
        </w:tabs>
        <w:spacing w:after="0" w:line="240" w:lineRule="auto"/>
        <w:ind w:left="1440" w:hanging="1440"/>
        <w:contextualSpacing/>
        <w:rPr>
          <w:bCs/>
          <w:sz w:val="24"/>
          <w:szCs w:val="24"/>
        </w:rPr>
      </w:pPr>
      <w:r>
        <w:rPr>
          <w:bCs/>
          <w:sz w:val="24"/>
          <w:szCs w:val="24"/>
        </w:rPr>
        <w:tab/>
        <w:t xml:space="preserve">Deborah Rhode, </w:t>
      </w:r>
      <w:r w:rsidRPr="00705964">
        <w:rPr>
          <w:bCs/>
          <w:i/>
          <w:sz w:val="24"/>
          <w:szCs w:val="24"/>
        </w:rPr>
        <w:t>Access to Justice</w:t>
      </w:r>
      <w:r>
        <w:rPr>
          <w:bCs/>
          <w:sz w:val="24"/>
          <w:szCs w:val="24"/>
        </w:rPr>
        <w:t xml:space="preserve"> (OUP, 2004)</w:t>
      </w:r>
    </w:p>
    <w:p w:rsidR="006410B9" w:rsidRPr="006C5546" w:rsidRDefault="006410B9" w:rsidP="00031C53">
      <w:pPr>
        <w:tabs>
          <w:tab w:val="left" w:pos="720"/>
          <w:tab w:val="left" w:pos="1440"/>
        </w:tabs>
        <w:spacing w:after="0" w:line="240" w:lineRule="auto"/>
        <w:ind w:left="1440" w:hanging="1440"/>
        <w:contextualSpacing/>
        <w:rPr>
          <w:bCs/>
          <w:sz w:val="24"/>
          <w:szCs w:val="24"/>
        </w:rPr>
      </w:pPr>
    </w:p>
    <w:p w:rsidR="00705964" w:rsidRDefault="001A63F9" w:rsidP="001A63F9">
      <w:pPr>
        <w:tabs>
          <w:tab w:val="left" w:pos="720"/>
          <w:tab w:val="left" w:pos="1440"/>
        </w:tabs>
        <w:spacing w:after="0" w:line="240" w:lineRule="auto"/>
        <w:ind w:left="1440" w:hanging="1440"/>
        <w:contextualSpacing/>
        <w:jc w:val="both"/>
        <w:rPr>
          <w:sz w:val="24"/>
          <w:szCs w:val="24"/>
        </w:rPr>
      </w:pPr>
      <w:r w:rsidRPr="006C5546">
        <w:rPr>
          <w:sz w:val="24"/>
          <w:szCs w:val="24"/>
        </w:rPr>
        <w:tab/>
        <w:t xml:space="preserve">Richard Zorza, </w:t>
      </w:r>
      <w:r w:rsidRPr="006C5546">
        <w:rPr>
          <w:smallCaps/>
          <w:sz w:val="24"/>
          <w:szCs w:val="24"/>
        </w:rPr>
        <w:t>Richard Zorza’s Access to Justice Blog</w:t>
      </w:r>
      <w:r w:rsidRPr="006C5546">
        <w:rPr>
          <w:sz w:val="24"/>
          <w:szCs w:val="24"/>
        </w:rPr>
        <w:t>,</w:t>
      </w:r>
    </w:p>
    <w:p w:rsidR="00FE35D6" w:rsidRPr="006C5546" w:rsidRDefault="00705964" w:rsidP="00676225">
      <w:pPr>
        <w:tabs>
          <w:tab w:val="left" w:pos="720"/>
          <w:tab w:val="left" w:pos="1440"/>
        </w:tabs>
        <w:spacing w:after="0" w:line="240" w:lineRule="auto"/>
        <w:ind w:left="1440" w:hanging="1440"/>
        <w:contextualSpacing/>
        <w:jc w:val="both"/>
        <w:rPr>
          <w:sz w:val="24"/>
          <w:szCs w:val="24"/>
        </w:rPr>
      </w:pPr>
      <w:r>
        <w:rPr>
          <w:sz w:val="24"/>
          <w:szCs w:val="24"/>
        </w:rPr>
        <w:tab/>
      </w:r>
      <w:r>
        <w:rPr>
          <w:sz w:val="24"/>
          <w:szCs w:val="24"/>
        </w:rPr>
        <w:tab/>
      </w:r>
      <w:hyperlink r:id="rId19" w:history="1">
        <w:r w:rsidR="006C5546" w:rsidRPr="006C5546">
          <w:rPr>
            <w:rStyle w:val="Hyperlink"/>
            <w:rFonts w:cs="Calibri"/>
            <w:sz w:val="24"/>
            <w:szCs w:val="24"/>
          </w:rPr>
          <w:t>http://accesstojustice.net/2014/04/04/progress-in-three-states-on-non-lawyer-access-innovations/</w:t>
        </w:r>
      </w:hyperlink>
    </w:p>
    <w:sectPr w:rsidR="00FE35D6" w:rsidRPr="006C5546" w:rsidSect="005E3132">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8F" w:rsidRDefault="00CA3F8F" w:rsidP="005E3132">
      <w:pPr>
        <w:spacing w:after="0" w:line="240" w:lineRule="auto"/>
      </w:pPr>
      <w:r>
        <w:separator/>
      </w:r>
    </w:p>
  </w:endnote>
  <w:endnote w:type="continuationSeparator" w:id="0">
    <w:p w:rsidR="00CA3F8F" w:rsidRDefault="00CA3F8F" w:rsidP="005E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20000A87"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w:charset w:val="00"/>
    <w:family w:val="auto"/>
    <w:pitch w:val="variable"/>
    <w:sig w:usb0="A000006F" w:usb1="00000019" w:usb2="00000000" w:usb3="00000000" w:csb0="00000111" w:csb1="00000000"/>
  </w:font>
  <w:font w:name="Noteworthy Light">
    <w:charset w:val="00"/>
    <w:family w:val="auto"/>
    <w:pitch w:val="variable"/>
    <w:sig w:usb0="A000006F"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D6" w:rsidRDefault="00FE35D6" w:rsidP="005E3132">
    <w:pPr>
      <w:pStyle w:val="Footer"/>
      <w:framePr w:wrap="around" w:vAnchor="text" w:hAnchor="margin" w:xAlign="right"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FE35D6" w:rsidRDefault="00FE35D6" w:rsidP="005E31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D6" w:rsidRDefault="00FE35D6" w:rsidP="005E3132">
    <w:pPr>
      <w:pStyle w:val="Footer"/>
      <w:framePr w:wrap="around" w:vAnchor="text" w:hAnchor="margin" w:xAlign="right"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C06956">
      <w:rPr>
        <w:rStyle w:val="PageNumber"/>
        <w:rFonts w:cs="Calibri"/>
        <w:noProof/>
      </w:rPr>
      <w:t>7</w:t>
    </w:r>
    <w:r>
      <w:rPr>
        <w:rStyle w:val="PageNumber"/>
        <w:rFonts w:cs="Calibri"/>
      </w:rPr>
      <w:fldChar w:fldCharType="end"/>
    </w:r>
  </w:p>
  <w:p w:rsidR="00FE35D6" w:rsidRPr="00605695" w:rsidRDefault="00FE35D6" w:rsidP="005E3132">
    <w:pPr>
      <w:pStyle w:val="Footer"/>
      <w:tabs>
        <w:tab w:val="clear" w:pos="9360"/>
      </w:tabs>
      <w:ind w:right="360"/>
      <w:rPr>
        <w:rFonts w:cs="Times New Roman"/>
        <w:sz w:val="18"/>
        <w:szCs w:val="18"/>
      </w:rPr>
    </w:pPr>
    <w:r>
      <w:rPr>
        <w:rFonts w:cs="Times New Roman"/>
        <w:sz w:val="18"/>
        <w:szCs w:val="18"/>
      </w:rPr>
      <w:t>Liman Worksho</w:t>
    </w:r>
    <w:r w:rsidR="00A873B0">
      <w:rPr>
        <w:rFonts w:cs="Times New Roman"/>
        <w:sz w:val="18"/>
        <w:szCs w:val="18"/>
      </w:rPr>
      <w:t xml:space="preserve">p Spring 2015 – Syllabus </w:t>
    </w:r>
    <w:r w:rsidR="001A4F7D">
      <w:rPr>
        <w:rFonts w:cs="Times New Roman"/>
        <w:sz w:val="18"/>
        <w:szCs w:val="18"/>
      </w:rPr>
      <w:t xml:space="preserve">revised </w:t>
    </w:r>
    <w:r w:rsidR="009240C7">
      <w:rPr>
        <w:rFonts w:cs="Times New Roman"/>
        <w:sz w:val="18"/>
        <w:szCs w:val="18"/>
      </w:rPr>
      <w:t>9</w:t>
    </w:r>
    <w:r w:rsidR="00F56AB6">
      <w:rPr>
        <w:rFonts w:cs="Times New Roman"/>
        <w:sz w:val="18"/>
        <w:szCs w:val="18"/>
      </w:rPr>
      <w:t xml:space="preserve"> </w:t>
    </w:r>
    <w:r w:rsidR="009240C7">
      <w:rPr>
        <w:rFonts w:cs="Times New Roman"/>
        <w:sz w:val="18"/>
        <w:szCs w:val="18"/>
      </w:rPr>
      <w:t>March 10</w:t>
    </w:r>
    <w:r>
      <w:rPr>
        <w:rFonts w:cs="Times New Roman"/>
        <w:sz w:val="18"/>
        <w:szCs w:val="18"/>
      </w:rPr>
      <w:t xml:space="preserve">,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8F" w:rsidRDefault="00CA3F8F" w:rsidP="005E3132">
      <w:pPr>
        <w:spacing w:after="0" w:line="240" w:lineRule="auto"/>
      </w:pPr>
      <w:r>
        <w:separator/>
      </w:r>
    </w:p>
  </w:footnote>
  <w:footnote w:type="continuationSeparator" w:id="0">
    <w:p w:rsidR="00CA3F8F" w:rsidRDefault="00CA3F8F" w:rsidP="005E3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D6" w:rsidRPr="00B80800" w:rsidRDefault="00FE35D6" w:rsidP="00AB5E8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247C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B1492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DE91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598A1B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F143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CA98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2420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220C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6ECD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CA6B0E"/>
    <w:lvl w:ilvl="0">
      <w:start w:val="1"/>
      <w:numFmt w:val="bullet"/>
      <w:lvlText w:val=""/>
      <w:lvlJc w:val="left"/>
      <w:pPr>
        <w:tabs>
          <w:tab w:val="num" w:pos="360"/>
        </w:tabs>
        <w:ind w:left="360" w:hanging="360"/>
      </w:pPr>
      <w:rPr>
        <w:rFonts w:ascii="Symbol" w:hAnsi="Symbol" w:hint="default"/>
      </w:rPr>
    </w:lvl>
  </w:abstractNum>
  <w:abstractNum w:abstractNumId="10">
    <w:nsid w:val="17E6084A"/>
    <w:multiLevelType w:val="hybridMultilevel"/>
    <w:tmpl w:val="DB0610B8"/>
    <w:lvl w:ilvl="0" w:tplc="B20A984A">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1">
    <w:nsid w:val="1A3A51C8"/>
    <w:multiLevelType w:val="hybridMultilevel"/>
    <w:tmpl w:val="EF7C290C"/>
    <w:lvl w:ilvl="0" w:tplc="72DE2BE8">
      <w:start w:val="2"/>
      <w:numFmt w:val="bullet"/>
      <w:lvlText w:val="-"/>
      <w:lvlJc w:val="left"/>
      <w:pPr>
        <w:ind w:left="1080" w:hanging="360"/>
      </w:pPr>
      <w:rPr>
        <w:rFonts w:ascii="Calibri" w:eastAsia="Calibri" w:hAnsi="Calibri" w:cs="Calibri"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31685A"/>
    <w:multiLevelType w:val="multilevel"/>
    <w:tmpl w:val="286C3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3B578D"/>
    <w:multiLevelType w:val="hybridMultilevel"/>
    <w:tmpl w:val="78F8360C"/>
    <w:lvl w:ilvl="0" w:tplc="F4DAE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1587E"/>
    <w:multiLevelType w:val="hybridMultilevel"/>
    <w:tmpl w:val="7FD8E76A"/>
    <w:lvl w:ilvl="0" w:tplc="9BBAD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202A2"/>
    <w:multiLevelType w:val="multilevel"/>
    <w:tmpl w:val="5F9688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C222A0"/>
    <w:multiLevelType w:val="multilevel"/>
    <w:tmpl w:val="286C3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FA7BED"/>
    <w:multiLevelType w:val="hybridMultilevel"/>
    <w:tmpl w:val="FD16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11202"/>
    <w:multiLevelType w:val="multilevel"/>
    <w:tmpl w:val="3692F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D16604"/>
    <w:multiLevelType w:val="hybridMultilevel"/>
    <w:tmpl w:val="6A583DDE"/>
    <w:lvl w:ilvl="0" w:tplc="ECDA03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5D50A2"/>
    <w:multiLevelType w:val="multilevel"/>
    <w:tmpl w:val="3686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2277F3"/>
    <w:multiLevelType w:val="hybridMultilevel"/>
    <w:tmpl w:val="B93CE0CC"/>
    <w:lvl w:ilvl="0" w:tplc="AED6C95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5"/>
  </w:num>
  <w:num w:numId="14">
    <w:abstractNumId w:val="18"/>
  </w:num>
  <w:num w:numId="15">
    <w:abstractNumId w:val="11"/>
  </w:num>
  <w:num w:numId="16">
    <w:abstractNumId w:val="12"/>
  </w:num>
  <w:num w:numId="17">
    <w:abstractNumId w:val="17"/>
  </w:num>
  <w:num w:numId="18">
    <w:abstractNumId w:val="10"/>
  </w:num>
  <w:num w:numId="19">
    <w:abstractNumId w:val="19"/>
  </w:num>
  <w:num w:numId="20">
    <w:abstractNumId w:val="2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36"/>
    <w:rsid w:val="0000014C"/>
    <w:rsid w:val="0000226A"/>
    <w:rsid w:val="00002738"/>
    <w:rsid w:val="00004B6C"/>
    <w:rsid w:val="00005622"/>
    <w:rsid w:val="00005E40"/>
    <w:rsid w:val="00006B04"/>
    <w:rsid w:val="0000787D"/>
    <w:rsid w:val="00010516"/>
    <w:rsid w:val="00011880"/>
    <w:rsid w:val="00014975"/>
    <w:rsid w:val="00017D48"/>
    <w:rsid w:val="00017EC4"/>
    <w:rsid w:val="000218EE"/>
    <w:rsid w:val="00021A67"/>
    <w:rsid w:val="000238D3"/>
    <w:rsid w:val="0002686B"/>
    <w:rsid w:val="00027C95"/>
    <w:rsid w:val="00030AD7"/>
    <w:rsid w:val="00030E2E"/>
    <w:rsid w:val="00031C53"/>
    <w:rsid w:val="00031C72"/>
    <w:rsid w:val="0003210B"/>
    <w:rsid w:val="000328D6"/>
    <w:rsid w:val="00033C51"/>
    <w:rsid w:val="00034B20"/>
    <w:rsid w:val="0003524C"/>
    <w:rsid w:val="00041FCF"/>
    <w:rsid w:val="00047301"/>
    <w:rsid w:val="00052A35"/>
    <w:rsid w:val="000543EA"/>
    <w:rsid w:val="00055A3B"/>
    <w:rsid w:val="00056DFD"/>
    <w:rsid w:val="00070C4D"/>
    <w:rsid w:val="000730C0"/>
    <w:rsid w:val="0007559E"/>
    <w:rsid w:val="0008407E"/>
    <w:rsid w:val="00084B78"/>
    <w:rsid w:val="00084D4B"/>
    <w:rsid w:val="000875F5"/>
    <w:rsid w:val="00087C64"/>
    <w:rsid w:val="000929F1"/>
    <w:rsid w:val="00092FE2"/>
    <w:rsid w:val="00093055"/>
    <w:rsid w:val="00093297"/>
    <w:rsid w:val="000945F6"/>
    <w:rsid w:val="000948C3"/>
    <w:rsid w:val="000968C4"/>
    <w:rsid w:val="00097A4F"/>
    <w:rsid w:val="000A04C6"/>
    <w:rsid w:val="000A09CA"/>
    <w:rsid w:val="000A1878"/>
    <w:rsid w:val="000A2A17"/>
    <w:rsid w:val="000A2B32"/>
    <w:rsid w:val="000A52E9"/>
    <w:rsid w:val="000B24BE"/>
    <w:rsid w:val="000C0ACC"/>
    <w:rsid w:val="000D2CBA"/>
    <w:rsid w:val="000D5425"/>
    <w:rsid w:val="000D6536"/>
    <w:rsid w:val="000E5E83"/>
    <w:rsid w:val="000F027A"/>
    <w:rsid w:val="000F42DE"/>
    <w:rsid w:val="000F4C62"/>
    <w:rsid w:val="00102225"/>
    <w:rsid w:val="0010606F"/>
    <w:rsid w:val="0011323E"/>
    <w:rsid w:val="00120C0D"/>
    <w:rsid w:val="001229D5"/>
    <w:rsid w:val="00122AA4"/>
    <w:rsid w:val="001233DC"/>
    <w:rsid w:val="00123977"/>
    <w:rsid w:val="00124EB2"/>
    <w:rsid w:val="0013042F"/>
    <w:rsid w:val="00130755"/>
    <w:rsid w:val="001330BF"/>
    <w:rsid w:val="00134B9E"/>
    <w:rsid w:val="00136A3F"/>
    <w:rsid w:val="0014095D"/>
    <w:rsid w:val="00140B4F"/>
    <w:rsid w:val="0014311D"/>
    <w:rsid w:val="00143C77"/>
    <w:rsid w:val="0014591D"/>
    <w:rsid w:val="00153073"/>
    <w:rsid w:val="00155974"/>
    <w:rsid w:val="00157CAB"/>
    <w:rsid w:val="00160A94"/>
    <w:rsid w:val="001620AE"/>
    <w:rsid w:val="001626A6"/>
    <w:rsid w:val="00162EB6"/>
    <w:rsid w:val="00163C37"/>
    <w:rsid w:val="0016701E"/>
    <w:rsid w:val="00170DFC"/>
    <w:rsid w:val="0017660D"/>
    <w:rsid w:val="00181220"/>
    <w:rsid w:val="001874B8"/>
    <w:rsid w:val="00187DC7"/>
    <w:rsid w:val="00193573"/>
    <w:rsid w:val="00196743"/>
    <w:rsid w:val="00196BA0"/>
    <w:rsid w:val="001A128F"/>
    <w:rsid w:val="001A12CF"/>
    <w:rsid w:val="001A39AA"/>
    <w:rsid w:val="001A4F7D"/>
    <w:rsid w:val="001A63F9"/>
    <w:rsid w:val="001C31B2"/>
    <w:rsid w:val="001C3DFF"/>
    <w:rsid w:val="001D0C1E"/>
    <w:rsid w:val="001D37FE"/>
    <w:rsid w:val="001D4874"/>
    <w:rsid w:val="001D50E8"/>
    <w:rsid w:val="001D5FD6"/>
    <w:rsid w:val="001D62B1"/>
    <w:rsid w:val="001D644E"/>
    <w:rsid w:val="001E1567"/>
    <w:rsid w:val="001E3553"/>
    <w:rsid w:val="001E3907"/>
    <w:rsid w:val="001E4694"/>
    <w:rsid w:val="001E7480"/>
    <w:rsid w:val="001F1677"/>
    <w:rsid w:val="001F2C44"/>
    <w:rsid w:val="00200596"/>
    <w:rsid w:val="002026B3"/>
    <w:rsid w:val="00202881"/>
    <w:rsid w:val="00204B14"/>
    <w:rsid w:val="00207BDB"/>
    <w:rsid w:val="00215DA2"/>
    <w:rsid w:val="00216595"/>
    <w:rsid w:val="0021697E"/>
    <w:rsid w:val="00220EBC"/>
    <w:rsid w:val="00223020"/>
    <w:rsid w:val="00224723"/>
    <w:rsid w:val="002261BB"/>
    <w:rsid w:val="002324F9"/>
    <w:rsid w:val="00232892"/>
    <w:rsid w:val="0023407C"/>
    <w:rsid w:val="00234A14"/>
    <w:rsid w:val="002406B1"/>
    <w:rsid w:val="0025119F"/>
    <w:rsid w:val="002527F9"/>
    <w:rsid w:val="00254E7D"/>
    <w:rsid w:val="00260C27"/>
    <w:rsid w:val="002627A0"/>
    <w:rsid w:val="00263FA2"/>
    <w:rsid w:val="00267BAF"/>
    <w:rsid w:val="00272FB8"/>
    <w:rsid w:val="00273B20"/>
    <w:rsid w:val="00274341"/>
    <w:rsid w:val="00274708"/>
    <w:rsid w:val="00274BF8"/>
    <w:rsid w:val="00275FF2"/>
    <w:rsid w:val="00276512"/>
    <w:rsid w:val="00280001"/>
    <w:rsid w:val="00281DAF"/>
    <w:rsid w:val="0028505D"/>
    <w:rsid w:val="0028537A"/>
    <w:rsid w:val="00285D80"/>
    <w:rsid w:val="002912FA"/>
    <w:rsid w:val="00293CEA"/>
    <w:rsid w:val="00294382"/>
    <w:rsid w:val="0029536E"/>
    <w:rsid w:val="002A12B0"/>
    <w:rsid w:val="002A1359"/>
    <w:rsid w:val="002A14AD"/>
    <w:rsid w:val="002A2EA6"/>
    <w:rsid w:val="002A372C"/>
    <w:rsid w:val="002A4BAD"/>
    <w:rsid w:val="002A4FBC"/>
    <w:rsid w:val="002A6946"/>
    <w:rsid w:val="002B106E"/>
    <w:rsid w:val="002B46F2"/>
    <w:rsid w:val="002B4CD7"/>
    <w:rsid w:val="002B6424"/>
    <w:rsid w:val="002C108C"/>
    <w:rsid w:val="002C3B33"/>
    <w:rsid w:val="002C688F"/>
    <w:rsid w:val="002C6F31"/>
    <w:rsid w:val="002D1058"/>
    <w:rsid w:val="002D2945"/>
    <w:rsid w:val="002D2D66"/>
    <w:rsid w:val="002D389A"/>
    <w:rsid w:val="002D4E9F"/>
    <w:rsid w:val="002E0269"/>
    <w:rsid w:val="002E2DA3"/>
    <w:rsid w:val="002E6CAC"/>
    <w:rsid w:val="002E740F"/>
    <w:rsid w:val="002E7F30"/>
    <w:rsid w:val="00301DD2"/>
    <w:rsid w:val="0030698E"/>
    <w:rsid w:val="003079C9"/>
    <w:rsid w:val="00310575"/>
    <w:rsid w:val="003106A6"/>
    <w:rsid w:val="00310E58"/>
    <w:rsid w:val="003130FF"/>
    <w:rsid w:val="003157C5"/>
    <w:rsid w:val="00316143"/>
    <w:rsid w:val="0032186A"/>
    <w:rsid w:val="00322579"/>
    <w:rsid w:val="00324791"/>
    <w:rsid w:val="00326119"/>
    <w:rsid w:val="00326F0E"/>
    <w:rsid w:val="00327AED"/>
    <w:rsid w:val="003314C7"/>
    <w:rsid w:val="00335680"/>
    <w:rsid w:val="00340846"/>
    <w:rsid w:val="00340D94"/>
    <w:rsid w:val="00350D73"/>
    <w:rsid w:val="00354A4A"/>
    <w:rsid w:val="00357C3D"/>
    <w:rsid w:val="003608FF"/>
    <w:rsid w:val="00366009"/>
    <w:rsid w:val="003665CB"/>
    <w:rsid w:val="00372167"/>
    <w:rsid w:val="00372738"/>
    <w:rsid w:val="00372829"/>
    <w:rsid w:val="0037441F"/>
    <w:rsid w:val="00380CDF"/>
    <w:rsid w:val="00383529"/>
    <w:rsid w:val="003902FB"/>
    <w:rsid w:val="0039063E"/>
    <w:rsid w:val="00392153"/>
    <w:rsid w:val="00392E0C"/>
    <w:rsid w:val="003A0433"/>
    <w:rsid w:val="003A23A6"/>
    <w:rsid w:val="003A34E3"/>
    <w:rsid w:val="003A3C0E"/>
    <w:rsid w:val="003A40F5"/>
    <w:rsid w:val="003A5ACB"/>
    <w:rsid w:val="003A5AD2"/>
    <w:rsid w:val="003B363C"/>
    <w:rsid w:val="003B4095"/>
    <w:rsid w:val="003B7B2E"/>
    <w:rsid w:val="003C0EC4"/>
    <w:rsid w:val="003C1CDC"/>
    <w:rsid w:val="003C2438"/>
    <w:rsid w:val="003C29CD"/>
    <w:rsid w:val="003D26E7"/>
    <w:rsid w:val="003D329F"/>
    <w:rsid w:val="003D476E"/>
    <w:rsid w:val="003D5870"/>
    <w:rsid w:val="003D6B40"/>
    <w:rsid w:val="003E10FD"/>
    <w:rsid w:val="003E171D"/>
    <w:rsid w:val="003E3E3B"/>
    <w:rsid w:val="003E79B8"/>
    <w:rsid w:val="003F14BC"/>
    <w:rsid w:val="003F18BB"/>
    <w:rsid w:val="003F677F"/>
    <w:rsid w:val="00402433"/>
    <w:rsid w:val="00406C51"/>
    <w:rsid w:val="0041032F"/>
    <w:rsid w:val="004135D8"/>
    <w:rsid w:val="00413C2D"/>
    <w:rsid w:val="00432B0E"/>
    <w:rsid w:val="00433051"/>
    <w:rsid w:val="00433DD1"/>
    <w:rsid w:val="00442EC6"/>
    <w:rsid w:val="004452FB"/>
    <w:rsid w:val="00451106"/>
    <w:rsid w:val="00452BAD"/>
    <w:rsid w:val="0045301C"/>
    <w:rsid w:val="00454B39"/>
    <w:rsid w:val="004557B2"/>
    <w:rsid w:val="0045630E"/>
    <w:rsid w:val="00457D4C"/>
    <w:rsid w:val="00462D99"/>
    <w:rsid w:val="00465761"/>
    <w:rsid w:val="004708D0"/>
    <w:rsid w:val="00472A88"/>
    <w:rsid w:val="00475031"/>
    <w:rsid w:val="00477445"/>
    <w:rsid w:val="00481984"/>
    <w:rsid w:val="00482254"/>
    <w:rsid w:val="00484844"/>
    <w:rsid w:val="0048555C"/>
    <w:rsid w:val="00491F60"/>
    <w:rsid w:val="0049746E"/>
    <w:rsid w:val="00497FAF"/>
    <w:rsid w:val="004A5FA9"/>
    <w:rsid w:val="004B1BF2"/>
    <w:rsid w:val="004B2438"/>
    <w:rsid w:val="004B3540"/>
    <w:rsid w:val="004B6640"/>
    <w:rsid w:val="004B6C17"/>
    <w:rsid w:val="004C49C8"/>
    <w:rsid w:val="004C6B2B"/>
    <w:rsid w:val="004D087C"/>
    <w:rsid w:val="004D3A15"/>
    <w:rsid w:val="004D7A64"/>
    <w:rsid w:val="004E1B42"/>
    <w:rsid w:val="004E2F88"/>
    <w:rsid w:val="004E30E4"/>
    <w:rsid w:val="004E64D3"/>
    <w:rsid w:val="004E6967"/>
    <w:rsid w:val="004E6A33"/>
    <w:rsid w:val="004E7658"/>
    <w:rsid w:val="004F2081"/>
    <w:rsid w:val="004F5568"/>
    <w:rsid w:val="004F5DA9"/>
    <w:rsid w:val="004F6A73"/>
    <w:rsid w:val="005012AA"/>
    <w:rsid w:val="005028C8"/>
    <w:rsid w:val="00511466"/>
    <w:rsid w:val="0051283C"/>
    <w:rsid w:val="00513DD2"/>
    <w:rsid w:val="00516FDD"/>
    <w:rsid w:val="00520994"/>
    <w:rsid w:val="0052432D"/>
    <w:rsid w:val="0053207D"/>
    <w:rsid w:val="00532252"/>
    <w:rsid w:val="0053247D"/>
    <w:rsid w:val="00533C3D"/>
    <w:rsid w:val="005362B4"/>
    <w:rsid w:val="00543D39"/>
    <w:rsid w:val="00545645"/>
    <w:rsid w:val="00547D55"/>
    <w:rsid w:val="00551A3A"/>
    <w:rsid w:val="00553DAE"/>
    <w:rsid w:val="00562FFB"/>
    <w:rsid w:val="00564D33"/>
    <w:rsid w:val="00572093"/>
    <w:rsid w:val="00573BC7"/>
    <w:rsid w:val="00573D47"/>
    <w:rsid w:val="0057722F"/>
    <w:rsid w:val="00581C7E"/>
    <w:rsid w:val="00582704"/>
    <w:rsid w:val="00585359"/>
    <w:rsid w:val="005856EF"/>
    <w:rsid w:val="00585EFA"/>
    <w:rsid w:val="00587941"/>
    <w:rsid w:val="00587CE3"/>
    <w:rsid w:val="0059351B"/>
    <w:rsid w:val="0059554A"/>
    <w:rsid w:val="00596C26"/>
    <w:rsid w:val="005A1795"/>
    <w:rsid w:val="005A26FE"/>
    <w:rsid w:val="005A29DA"/>
    <w:rsid w:val="005A3440"/>
    <w:rsid w:val="005A3F1F"/>
    <w:rsid w:val="005A739C"/>
    <w:rsid w:val="005B1239"/>
    <w:rsid w:val="005B2FDA"/>
    <w:rsid w:val="005B30A4"/>
    <w:rsid w:val="005B31F0"/>
    <w:rsid w:val="005B4BA0"/>
    <w:rsid w:val="005B6D82"/>
    <w:rsid w:val="005C04C1"/>
    <w:rsid w:val="005C0E41"/>
    <w:rsid w:val="005C2B03"/>
    <w:rsid w:val="005C7128"/>
    <w:rsid w:val="005C7274"/>
    <w:rsid w:val="005C7BD6"/>
    <w:rsid w:val="005D72D6"/>
    <w:rsid w:val="005E08E9"/>
    <w:rsid w:val="005E146C"/>
    <w:rsid w:val="005E3132"/>
    <w:rsid w:val="005E4C98"/>
    <w:rsid w:val="005F58A0"/>
    <w:rsid w:val="005F5E7B"/>
    <w:rsid w:val="005F761F"/>
    <w:rsid w:val="005F77B2"/>
    <w:rsid w:val="006023FD"/>
    <w:rsid w:val="00603B0A"/>
    <w:rsid w:val="006056DD"/>
    <w:rsid w:val="006079AA"/>
    <w:rsid w:val="00607BC6"/>
    <w:rsid w:val="00610741"/>
    <w:rsid w:val="00611575"/>
    <w:rsid w:val="00611805"/>
    <w:rsid w:val="00611B2D"/>
    <w:rsid w:val="00614009"/>
    <w:rsid w:val="00614402"/>
    <w:rsid w:val="00621212"/>
    <w:rsid w:val="00623A8F"/>
    <w:rsid w:val="00626B66"/>
    <w:rsid w:val="00627115"/>
    <w:rsid w:val="00630301"/>
    <w:rsid w:val="00631CDB"/>
    <w:rsid w:val="006329CA"/>
    <w:rsid w:val="00634283"/>
    <w:rsid w:val="0063455D"/>
    <w:rsid w:val="00635E84"/>
    <w:rsid w:val="006410B9"/>
    <w:rsid w:val="00644341"/>
    <w:rsid w:val="00644D21"/>
    <w:rsid w:val="00645676"/>
    <w:rsid w:val="0065067A"/>
    <w:rsid w:val="00650FEC"/>
    <w:rsid w:val="00652131"/>
    <w:rsid w:val="006563C5"/>
    <w:rsid w:val="00657D53"/>
    <w:rsid w:val="006607EC"/>
    <w:rsid w:val="0066330F"/>
    <w:rsid w:val="00663706"/>
    <w:rsid w:val="00664A59"/>
    <w:rsid w:val="00664D97"/>
    <w:rsid w:val="00672284"/>
    <w:rsid w:val="006732A1"/>
    <w:rsid w:val="00676225"/>
    <w:rsid w:val="00676AC5"/>
    <w:rsid w:val="00685546"/>
    <w:rsid w:val="00685C55"/>
    <w:rsid w:val="0068742C"/>
    <w:rsid w:val="006920CF"/>
    <w:rsid w:val="00692ADA"/>
    <w:rsid w:val="00692D67"/>
    <w:rsid w:val="00693B05"/>
    <w:rsid w:val="006962A8"/>
    <w:rsid w:val="006A0CA2"/>
    <w:rsid w:val="006A2E6B"/>
    <w:rsid w:val="006A2F3F"/>
    <w:rsid w:val="006A2FB2"/>
    <w:rsid w:val="006A3D0C"/>
    <w:rsid w:val="006B0D89"/>
    <w:rsid w:val="006B22A2"/>
    <w:rsid w:val="006B2AE0"/>
    <w:rsid w:val="006B3600"/>
    <w:rsid w:val="006B4D91"/>
    <w:rsid w:val="006B4E5D"/>
    <w:rsid w:val="006B511B"/>
    <w:rsid w:val="006B68C5"/>
    <w:rsid w:val="006B713A"/>
    <w:rsid w:val="006C4D54"/>
    <w:rsid w:val="006C5546"/>
    <w:rsid w:val="006D0F9F"/>
    <w:rsid w:val="006D1D06"/>
    <w:rsid w:val="006D4880"/>
    <w:rsid w:val="006E0EA7"/>
    <w:rsid w:val="006E28AB"/>
    <w:rsid w:val="006E3A59"/>
    <w:rsid w:val="006F0C50"/>
    <w:rsid w:val="006F1CA6"/>
    <w:rsid w:val="006F2948"/>
    <w:rsid w:val="006F6623"/>
    <w:rsid w:val="007027B6"/>
    <w:rsid w:val="00705964"/>
    <w:rsid w:val="007103EA"/>
    <w:rsid w:val="00714FDC"/>
    <w:rsid w:val="00721397"/>
    <w:rsid w:val="00723D25"/>
    <w:rsid w:val="00735D37"/>
    <w:rsid w:val="00740193"/>
    <w:rsid w:val="007419C0"/>
    <w:rsid w:val="0074655D"/>
    <w:rsid w:val="007537A8"/>
    <w:rsid w:val="00753C82"/>
    <w:rsid w:val="00753EA5"/>
    <w:rsid w:val="00754423"/>
    <w:rsid w:val="007556A2"/>
    <w:rsid w:val="00757A80"/>
    <w:rsid w:val="007614BB"/>
    <w:rsid w:val="00765174"/>
    <w:rsid w:val="00765447"/>
    <w:rsid w:val="00767B8F"/>
    <w:rsid w:val="00771E7E"/>
    <w:rsid w:val="0077389B"/>
    <w:rsid w:val="00774501"/>
    <w:rsid w:val="00775252"/>
    <w:rsid w:val="00775C00"/>
    <w:rsid w:val="0078080C"/>
    <w:rsid w:val="00781A83"/>
    <w:rsid w:val="00781D98"/>
    <w:rsid w:val="00786A78"/>
    <w:rsid w:val="00791C37"/>
    <w:rsid w:val="007A36B3"/>
    <w:rsid w:val="007A3BCF"/>
    <w:rsid w:val="007A4D20"/>
    <w:rsid w:val="007A5EA0"/>
    <w:rsid w:val="007B01BF"/>
    <w:rsid w:val="007B395F"/>
    <w:rsid w:val="007B4D4C"/>
    <w:rsid w:val="007B62E8"/>
    <w:rsid w:val="007C2DD0"/>
    <w:rsid w:val="007C4E9E"/>
    <w:rsid w:val="007D123D"/>
    <w:rsid w:val="007D1526"/>
    <w:rsid w:val="007D2C7C"/>
    <w:rsid w:val="007D2E96"/>
    <w:rsid w:val="007D373B"/>
    <w:rsid w:val="007D79AC"/>
    <w:rsid w:val="007D7F91"/>
    <w:rsid w:val="007E311A"/>
    <w:rsid w:val="007E3B2E"/>
    <w:rsid w:val="007E761C"/>
    <w:rsid w:val="007E7E2D"/>
    <w:rsid w:val="007E7F7A"/>
    <w:rsid w:val="007F0A49"/>
    <w:rsid w:val="007F53BA"/>
    <w:rsid w:val="00803830"/>
    <w:rsid w:val="00804FEA"/>
    <w:rsid w:val="00805854"/>
    <w:rsid w:val="008064D7"/>
    <w:rsid w:val="00812E3F"/>
    <w:rsid w:val="0081780E"/>
    <w:rsid w:val="00823A30"/>
    <w:rsid w:val="00823E34"/>
    <w:rsid w:val="008245FE"/>
    <w:rsid w:val="00826B34"/>
    <w:rsid w:val="008314CF"/>
    <w:rsid w:val="00841AF9"/>
    <w:rsid w:val="0084276E"/>
    <w:rsid w:val="00844231"/>
    <w:rsid w:val="008539B4"/>
    <w:rsid w:val="008600E3"/>
    <w:rsid w:val="008603C0"/>
    <w:rsid w:val="008625D8"/>
    <w:rsid w:val="0086378E"/>
    <w:rsid w:val="0086592C"/>
    <w:rsid w:val="00865F52"/>
    <w:rsid w:val="0086673F"/>
    <w:rsid w:val="0086739D"/>
    <w:rsid w:val="00867AEE"/>
    <w:rsid w:val="008720D8"/>
    <w:rsid w:val="0087386A"/>
    <w:rsid w:val="00874829"/>
    <w:rsid w:val="0088228C"/>
    <w:rsid w:val="008839D1"/>
    <w:rsid w:val="00883AD2"/>
    <w:rsid w:val="008870C6"/>
    <w:rsid w:val="00890C25"/>
    <w:rsid w:val="00894D99"/>
    <w:rsid w:val="008963F7"/>
    <w:rsid w:val="00897707"/>
    <w:rsid w:val="008A0B66"/>
    <w:rsid w:val="008A2A17"/>
    <w:rsid w:val="008A61D4"/>
    <w:rsid w:val="008A6B35"/>
    <w:rsid w:val="008A782F"/>
    <w:rsid w:val="008B481A"/>
    <w:rsid w:val="008B6356"/>
    <w:rsid w:val="008C654F"/>
    <w:rsid w:val="008C6952"/>
    <w:rsid w:val="008C6EAB"/>
    <w:rsid w:val="008C7D9C"/>
    <w:rsid w:val="008D027A"/>
    <w:rsid w:val="008D073B"/>
    <w:rsid w:val="008D192D"/>
    <w:rsid w:val="008D2A6E"/>
    <w:rsid w:val="008D6325"/>
    <w:rsid w:val="008E3B09"/>
    <w:rsid w:val="008E4F0E"/>
    <w:rsid w:val="008E7D11"/>
    <w:rsid w:val="008F1C19"/>
    <w:rsid w:val="008F236C"/>
    <w:rsid w:val="008F4D96"/>
    <w:rsid w:val="009026B8"/>
    <w:rsid w:val="0090492A"/>
    <w:rsid w:val="0090507F"/>
    <w:rsid w:val="009078C9"/>
    <w:rsid w:val="009110A1"/>
    <w:rsid w:val="00920208"/>
    <w:rsid w:val="00923FBA"/>
    <w:rsid w:val="009240C7"/>
    <w:rsid w:val="009267E8"/>
    <w:rsid w:val="00937486"/>
    <w:rsid w:val="00937EE5"/>
    <w:rsid w:val="009413E4"/>
    <w:rsid w:val="0094410C"/>
    <w:rsid w:val="0094613B"/>
    <w:rsid w:val="009547E2"/>
    <w:rsid w:val="00954ECA"/>
    <w:rsid w:val="00955A1A"/>
    <w:rsid w:val="00956A3F"/>
    <w:rsid w:val="00960AD8"/>
    <w:rsid w:val="00963617"/>
    <w:rsid w:val="00963B5E"/>
    <w:rsid w:val="00963E67"/>
    <w:rsid w:val="00963EB5"/>
    <w:rsid w:val="009654E3"/>
    <w:rsid w:val="00971061"/>
    <w:rsid w:val="009747A0"/>
    <w:rsid w:val="00976514"/>
    <w:rsid w:val="00983A75"/>
    <w:rsid w:val="009850FB"/>
    <w:rsid w:val="00991D3C"/>
    <w:rsid w:val="00992941"/>
    <w:rsid w:val="00994C82"/>
    <w:rsid w:val="009950E3"/>
    <w:rsid w:val="009953E0"/>
    <w:rsid w:val="00996602"/>
    <w:rsid w:val="00996CC4"/>
    <w:rsid w:val="009974CA"/>
    <w:rsid w:val="009A3786"/>
    <w:rsid w:val="009A5313"/>
    <w:rsid w:val="009A6548"/>
    <w:rsid w:val="009A6CAF"/>
    <w:rsid w:val="009B0355"/>
    <w:rsid w:val="009B10C7"/>
    <w:rsid w:val="009B29D9"/>
    <w:rsid w:val="009B5D6E"/>
    <w:rsid w:val="009C31B4"/>
    <w:rsid w:val="009C5D5B"/>
    <w:rsid w:val="009D12E8"/>
    <w:rsid w:val="009E14AD"/>
    <w:rsid w:val="009E20F4"/>
    <w:rsid w:val="009E5C0C"/>
    <w:rsid w:val="009E7C59"/>
    <w:rsid w:val="009F0B37"/>
    <w:rsid w:val="009F10AE"/>
    <w:rsid w:val="009F369D"/>
    <w:rsid w:val="009F3C66"/>
    <w:rsid w:val="009F7675"/>
    <w:rsid w:val="00A029E3"/>
    <w:rsid w:val="00A05FC8"/>
    <w:rsid w:val="00A0777F"/>
    <w:rsid w:val="00A10297"/>
    <w:rsid w:val="00A105AD"/>
    <w:rsid w:val="00A10A4A"/>
    <w:rsid w:val="00A13E20"/>
    <w:rsid w:val="00A14A13"/>
    <w:rsid w:val="00A1548E"/>
    <w:rsid w:val="00A20357"/>
    <w:rsid w:val="00A203BE"/>
    <w:rsid w:val="00A26A75"/>
    <w:rsid w:val="00A309C9"/>
    <w:rsid w:val="00A31EAF"/>
    <w:rsid w:val="00A338E8"/>
    <w:rsid w:val="00A3632D"/>
    <w:rsid w:val="00A40F27"/>
    <w:rsid w:val="00A441A0"/>
    <w:rsid w:val="00A50A36"/>
    <w:rsid w:val="00A51053"/>
    <w:rsid w:val="00A52793"/>
    <w:rsid w:val="00A534C2"/>
    <w:rsid w:val="00A6603D"/>
    <w:rsid w:val="00A71F03"/>
    <w:rsid w:val="00A7329F"/>
    <w:rsid w:val="00A75A9F"/>
    <w:rsid w:val="00A77FAF"/>
    <w:rsid w:val="00A82C91"/>
    <w:rsid w:val="00A86136"/>
    <w:rsid w:val="00A873B0"/>
    <w:rsid w:val="00A921CA"/>
    <w:rsid w:val="00A95FDF"/>
    <w:rsid w:val="00A97C9C"/>
    <w:rsid w:val="00AA04DC"/>
    <w:rsid w:val="00AA1437"/>
    <w:rsid w:val="00AA1635"/>
    <w:rsid w:val="00AB1136"/>
    <w:rsid w:val="00AB1801"/>
    <w:rsid w:val="00AB30E8"/>
    <w:rsid w:val="00AB5E80"/>
    <w:rsid w:val="00AB7CCA"/>
    <w:rsid w:val="00AC61AB"/>
    <w:rsid w:val="00AD1DF6"/>
    <w:rsid w:val="00AD505B"/>
    <w:rsid w:val="00AE3A3A"/>
    <w:rsid w:val="00AF38E5"/>
    <w:rsid w:val="00AF666E"/>
    <w:rsid w:val="00AF70CD"/>
    <w:rsid w:val="00B0408A"/>
    <w:rsid w:val="00B0557D"/>
    <w:rsid w:val="00B061A1"/>
    <w:rsid w:val="00B06C25"/>
    <w:rsid w:val="00B10E2E"/>
    <w:rsid w:val="00B12A6E"/>
    <w:rsid w:val="00B137E0"/>
    <w:rsid w:val="00B13A37"/>
    <w:rsid w:val="00B2138F"/>
    <w:rsid w:val="00B2554F"/>
    <w:rsid w:val="00B27BBE"/>
    <w:rsid w:val="00B30001"/>
    <w:rsid w:val="00B307D0"/>
    <w:rsid w:val="00B31525"/>
    <w:rsid w:val="00B34D6D"/>
    <w:rsid w:val="00B447E6"/>
    <w:rsid w:val="00B46834"/>
    <w:rsid w:val="00B472DA"/>
    <w:rsid w:val="00B56AEA"/>
    <w:rsid w:val="00B573DD"/>
    <w:rsid w:val="00B60338"/>
    <w:rsid w:val="00B62E12"/>
    <w:rsid w:val="00B64332"/>
    <w:rsid w:val="00B67D5A"/>
    <w:rsid w:val="00B734FD"/>
    <w:rsid w:val="00B73D17"/>
    <w:rsid w:val="00B761E8"/>
    <w:rsid w:val="00B80119"/>
    <w:rsid w:val="00B80800"/>
    <w:rsid w:val="00B87BD3"/>
    <w:rsid w:val="00B97B03"/>
    <w:rsid w:val="00BA0698"/>
    <w:rsid w:val="00BA1DF1"/>
    <w:rsid w:val="00BA278B"/>
    <w:rsid w:val="00BB0813"/>
    <w:rsid w:val="00BB2DB9"/>
    <w:rsid w:val="00BB6917"/>
    <w:rsid w:val="00BB7735"/>
    <w:rsid w:val="00BB7AD0"/>
    <w:rsid w:val="00BC004B"/>
    <w:rsid w:val="00BC1C5D"/>
    <w:rsid w:val="00BC61F5"/>
    <w:rsid w:val="00BC641B"/>
    <w:rsid w:val="00BD6A57"/>
    <w:rsid w:val="00BD7902"/>
    <w:rsid w:val="00BE1BD9"/>
    <w:rsid w:val="00BE44B7"/>
    <w:rsid w:val="00BE685F"/>
    <w:rsid w:val="00BF1DC1"/>
    <w:rsid w:val="00BF31B4"/>
    <w:rsid w:val="00BF48C0"/>
    <w:rsid w:val="00BF48EE"/>
    <w:rsid w:val="00C06956"/>
    <w:rsid w:val="00C07AC4"/>
    <w:rsid w:val="00C124D1"/>
    <w:rsid w:val="00C15DBB"/>
    <w:rsid w:val="00C17A51"/>
    <w:rsid w:val="00C21C69"/>
    <w:rsid w:val="00C21EB5"/>
    <w:rsid w:val="00C220A9"/>
    <w:rsid w:val="00C3129F"/>
    <w:rsid w:val="00C34AAC"/>
    <w:rsid w:val="00C351F8"/>
    <w:rsid w:val="00C36784"/>
    <w:rsid w:val="00C41EB5"/>
    <w:rsid w:val="00C426EE"/>
    <w:rsid w:val="00C44972"/>
    <w:rsid w:val="00C57605"/>
    <w:rsid w:val="00C600B2"/>
    <w:rsid w:val="00C633C1"/>
    <w:rsid w:val="00C64B4C"/>
    <w:rsid w:val="00C66476"/>
    <w:rsid w:val="00C66A68"/>
    <w:rsid w:val="00C72FD8"/>
    <w:rsid w:val="00C737E2"/>
    <w:rsid w:val="00C76ABF"/>
    <w:rsid w:val="00C81723"/>
    <w:rsid w:val="00C93452"/>
    <w:rsid w:val="00C93E21"/>
    <w:rsid w:val="00C94128"/>
    <w:rsid w:val="00C9694E"/>
    <w:rsid w:val="00C977D6"/>
    <w:rsid w:val="00CA1875"/>
    <w:rsid w:val="00CA3B52"/>
    <w:rsid w:val="00CA3F8F"/>
    <w:rsid w:val="00CA5D46"/>
    <w:rsid w:val="00CB39E2"/>
    <w:rsid w:val="00CB5DD8"/>
    <w:rsid w:val="00CB7E20"/>
    <w:rsid w:val="00CC218B"/>
    <w:rsid w:val="00CC62E5"/>
    <w:rsid w:val="00CD2971"/>
    <w:rsid w:val="00CD3782"/>
    <w:rsid w:val="00CE08BE"/>
    <w:rsid w:val="00CE170F"/>
    <w:rsid w:val="00CE1E8B"/>
    <w:rsid w:val="00CE36AB"/>
    <w:rsid w:val="00CE5E54"/>
    <w:rsid w:val="00CF08DC"/>
    <w:rsid w:val="00CF4C8B"/>
    <w:rsid w:val="00CF5E79"/>
    <w:rsid w:val="00CF63B5"/>
    <w:rsid w:val="00D021AF"/>
    <w:rsid w:val="00D03619"/>
    <w:rsid w:val="00D11C57"/>
    <w:rsid w:val="00D23061"/>
    <w:rsid w:val="00D26221"/>
    <w:rsid w:val="00D31417"/>
    <w:rsid w:val="00D322AF"/>
    <w:rsid w:val="00D324C7"/>
    <w:rsid w:val="00D35F84"/>
    <w:rsid w:val="00D36192"/>
    <w:rsid w:val="00D3627D"/>
    <w:rsid w:val="00D364C6"/>
    <w:rsid w:val="00D438B9"/>
    <w:rsid w:val="00D43D67"/>
    <w:rsid w:val="00D4542D"/>
    <w:rsid w:val="00D50349"/>
    <w:rsid w:val="00D558E0"/>
    <w:rsid w:val="00D63154"/>
    <w:rsid w:val="00D67173"/>
    <w:rsid w:val="00D7016E"/>
    <w:rsid w:val="00D73D91"/>
    <w:rsid w:val="00D77599"/>
    <w:rsid w:val="00D775DC"/>
    <w:rsid w:val="00D77A9E"/>
    <w:rsid w:val="00D77E20"/>
    <w:rsid w:val="00D801E3"/>
    <w:rsid w:val="00D81A28"/>
    <w:rsid w:val="00D90598"/>
    <w:rsid w:val="00D941F6"/>
    <w:rsid w:val="00D97C21"/>
    <w:rsid w:val="00DA341D"/>
    <w:rsid w:val="00DA426C"/>
    <w:rsid w:val="00DA4DBC"/>
    <w:rsid w:val="00DA5244"/>
    <w:rsid w:val="00DA5707"/>
    <w:rsid w:val="00DC01DA"/>
    <w:rsid w:val="00DC027C"/>
    <w:rsid w:val="00DC30C1"/>
    <w:rsid w:val="00DC4351"/>
    <w:rsid w:val="00DC68A7"/>
    <w:rsid w:val="00DC705B"/>
    <w:rsid w:val="00DC7432"/>
    <w:rsid w:val="00DC755C"/>
    <w:rsid w:val="00DC7C84"/>
    <w:rsid w:val="00DD3B34"/>
    <w:rsid w:val="00DD64AD"/>
    <w:rsid w:val="00DE305E"/>
    <w:rsid w:val="00DE3469"/>
    <w:rsid w:val="00DE3ED6"/>
    <w:rsid w:val="00DE67FC"/>
    <w:rsid w:val="00DE7CB5"/>
    <w:rsid w:val="00DF4D10"/>
    <w:rsid w:val="00E034F7"/>
    <w:rsid w:val="00E05A5F"/>
    <w:rsid w:val="00E10594"/>
    <w:rsid w:val="00E17D8E"/>
    <w:rsid w:val="00E17FF7"/>
    <w:rsid w:val="00E21464"/>
    <w:rsid w:val="00E22EFE"/>
    <w:rsid w:val="00E33AE7"/>
    <w:rsid w:val="00E51425"/>
    <w:rsid w:val="00E51904"/>
    <w:rsid w:val="00E55474"/>
    <w:rsid w:val="00E55FC7"/>
    <w:rsid w:val="00E60060"/>
    <w:rsid w:val="00E655DD"/>
    <w:rsid w:val="00E71EA8"/>
    <w:rsid w:val="00E72570"/>
    <w:rsid w:val="00E73839"/>
    <w:rsid w:val="00E73A42"/>
    <w:rsid w:val="00E743F9"/>
    <w:rsid w:val="00E77B21"/>
    <w:rsid w:val="00E83E09"/>
    <w:rsid w:val="00E867E5"/>
    <w:rsid w:val="00E92E73"/>
    <w:rsid w:val="00E95198"/>
    <w:rsid w:val="00E95743"/>
    <w:rsid w:val="00E9602A"/>
    <w:rsid w:val="00E963DF"/>
    <w:rsid w:val="00EA1E57"/>
    <w:rsid w:val="00EA1F1D"/>
    <w:rsid w:val="00EA5697"/>
    <w:rsid w:val="00EA68C5"/>
    <w:rsid w:val="00EA7D50"/>
    <w:rsid w:val="00EB4C72"/>
    <w:rsid w:val="00EB6D0B"/>
    <w:rsid w:val="00EC0005"/>
    <w:rsid w:val="00EC0D78"/>
    <w:rsid w:val="00EC0EAF"/>
    <w:rsid w:val="00EC3DE4"/>
    <w:rsid w:val="00EC4CD0"/>
    <w:rsid w:val="00EC5052"/>
    <w:rsid w:val="00EC5290"/>
    <w:rsid w:val="00ED3338"/>
    <w:rsid w:val="00ED4B70"/>
    <w:rsid w:val="00EE1FAC"/>
    <w:rsid w:val="00EF2017"/>
    <w:rsid w:val="00EF2754"/>
    <w:rsid w:val="00EF3D5F"/>
    <w:rsid w:val="00EF568E"/>
    <w:rsid w:val="00EF6C8E"/>
    <w:rsid w:val="00F00ACF"/>
    <w:rsid w:val="00F02A37"/>
    <w:rsid w:val="00F0420A"/>
    <w:rsid w:val="00F05576"/>
    <w:rsid w:val="00F055BC"/>
    <w:rsid w:val="00F11C51"/>
    <w:rsid w:val="00F14744"/>
    <w:rsid w:val="00F17589"/>
    <w:rsid w:val="00F2227F"/>
    <w:rsid w:val="00F22322"/>
    <w:rsid w:val="00F23354"/>
    <w:rsid w:val="00F23B3F"/>
    <w:rsid w:val="00F25985"/>
    <w:rsid w:val="00F30F12"/>
    <w:rsid w:val="00F3762A"/>
    <w:rsid w:val="00F37A2C"/>
    <w:rsid w:val="00F41B11"/>
    <w:rsid w:val="00F506A1"/>
    <w:rsid w:val="00F56AB6"/>
    <w:rsid w:val="00F579DF"/>
    <w:rsid w:val="00F601D9"/>
    <w:rsid w:val="00F607DB"/>
    <w:rsid w:val="00F63A10"/>
    <w:rsid w:val="00F65145"/>
    <w:rsid w:val="00F67797"/>
    <w:rsid w:val="00F71EC5"/>
    <w:rsid w:val="00F758DB"/>
    <w:rsid w:val="00F819D5"/>
    <w:rsid w:val="00F81C8F"/>
    <w:rsid w:val="00F83F59"/>
    <w:rsid w:val="00F847CD"/>
    <w:rsid w:val="00F85468"/>
    <w:rsid w:val="00F87947"/>
    <w:rsid w:val="00F92799"/>
    <w:rsid w:val="00F96926"/>
    <w:rsid w:val="00FA14D3"/>
    <w:rsid w:val="00FA31D0"/>
    <w:rsid w:val="00FA3701"/>
    <w:rsid w:val="00FA78E9"/>
    <w:rsid w:val="00FB165E"/>
    <w:rsid w:val="00FB441E"/>
    <w:rsid w:val="00FC19D8"/>
    <w:rsid w:val="00FC1D38"/>
    <w:rsid w:val="00FC5681"/>
    <w:rsid w:val="00FD7D44"/>
    <w:rsid w:val="00FE243B"/>
    <w:rsid w:val="00FE35D6"/>
    <w:rsid w:val="00FE4CFB"/>
    <w:rsid w:val="00FF0A59"/>
    <w:rsid w:val="00FF4DD6"/>
    <w:rsid w:val="00FF678F"/>
    <w:rsid w:val="00FF71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E60A18-5D55-43E3-B832-389E855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36"/>
    <w:pPr>
      <w:spacing w:after="200" w:line="276" w:lineRule="auto"/>
    </w:pPr>
    <w:rPr>
      <w:rFonts w:cs="Calibri"/>
      <w:sz w:val="22"/>
      <w:szCs w:val="22"/>
    </w:rPr>
  </w:style>
  <w:style w:type="paragraph" w:styleId="Heading2">
    <w:name w:val="heading 2"/>
    <w:basedOn w:val="Normal"/>
    <w:link w:val="Heading2Char"/>
    <w:uiPriority w:val="9"/>
    <w:qFormat/>
    <w:locked/>
    <w:rsid w:val="00BC0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75AC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126E9"/>
    <w:rPr>
      <w:rFonts w:ascii="Lucida Grande" w:hAnsi="Lucida Grande" w:cs="Lucida Grande"/>
      <w:sz w:val="18"/>
      <w:szCs w:val="18"/>
    </w:rPr>
  </w:style>
  <w:style w:type="character" w:customStyle="1" w:styleId="BalloonTextChar0">
    <w:name w:val="Balloon Text Char"/>
    <w:basedOn w:val="DefaultParagraphFont"/>
    <w:uiPriority w:val="99"/>
    <w:semiHidden/>
    <w:rsid w:val="00B126E9"/>
    <w:rPr>
      <w:rFonts w:ascii="Lucida Grande" w:hAnsi="Lucida Grande" w:cs="Lucida Grande"/>
      <w:sz w:val="18"/>
      <w:szCs w:val="18"/>
    </w:rPr>
  </w:style>
  <w:style w:type="paragraph" w:styleId="ListParagraph">
    <w:name w:val="List Paragraph"/>
    <w:basedOn w:val="Normal"/>
    <w:uiPriority w:val="34"/>
    <w:qFormat/>
    <w:rsid w:val="00AB1136"/>
    <w:pPr>
      <w:ind w:left="720"/>
      <w:contextualSpacing/>
    </w:pPr>
  </w:style>
  <w:style w:type="character" w:styleId="Hyperlink">
    <w:name w:val="Hyperlink"/>
    <w:basedOn w:val="DefaultParagraphFont"/>
    <w:uiPriority w:val="99"/>
    <w:rsid w:val="00AB1136"/>
    <w:rPr>
      <w:rFonts w:cs="Times New Roman"/>
      <w:color w:val="0000FF"/>
      <w:u w:val="single"/>
    </w:rPr>
  </w:style>
  <w:style w:type="paragraph" w:styleId="NormalWeb">
    <w:name w:val="Normal (Web)"/>
    <w:basedOn w:val="Normal"/>
    <w:uiPriority w:val="99"/>
    <w:rsid w:val="00AB11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275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75ACE"/>
    <w:rPr>
      <w:rFonts w:ascii="Calibri" w:hAnsi="Calibri" w:cs="Calibri"/>
    </w:rPr>
  </w:style>
  <w:style w:type="paragraph" w:styleId="Footer">
    <w:name w:val="footer"/>
    <w:basedOn w:val="Normal"/>
    <w:link w:val="FooterChar"/>
    <w:uiPriority w:val="99"/>
    <w:rsid w:val="00275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5ACE"/>
    <w:rPr>
      <w:rFonts w:ascii="Calibri" w:hAnsi="Calibri" w:cs="Calibri"/>
    </w:rPr>
  </w:style>
  <w:style w:type="character" w:customStyle="1" w:styleId="BalloonTextChar1">
    <w:name w:val="Balloon Text Char1"/>
    <w:basedOn w:val="DefaultParagraphFont"/>
    <w:link w:val="BalloonText"/>
    <w:uiPriority w:val="99"/>
    <w:semiHidden/>
    <w:locked/>
    <w:rsid w:val="00275ACE"/>
    <w:rPr>
      <w:rFonts w:ascii="Tahoma" w:hAnsi="Tahoma" w:cs="Tahoma"/>
      <w:sz w:val="16"/>
      <w:szCs w:val="16"/>
    </w:rPr>
  </w:style>
  <w:style w:type="character" w:styleId="FollowedHyperlink">
    <w:name w:val="FollowedHyperlink"/>
    <w:basedOn w:val="DefaultParagraphFont"/>
    <w:uiPriority w:val="99"/>
    <w:semiHidden/>
    <w:rsid w:val="00B05815"/>
    <w:rPr>
      <w:rFonts w:cs="Times New Roman"/>
      <w:color w:val="800080"/>
      <w:u w:val="single"/>
    </w:rPr>
  </w:style>
  <w:style w:type="character" w:styleId="CommentReference">
    <w:name w:val="annotation reference"/>
    <w:basedOn w:val="DefaultParagraphFont"/>
    <w:uiPriority w:val="99"/>
    <w:semiHidden/>
    <w:rsid w:val="0089225A"/>
    <w:rPr>
      <w:rFonts w:cs="Times New Roman"/>
      <w:sz w:val="16"/>
      <w:szCs w:val="16"/>
    </w:rPr>
  </w:style>
  <w:style w:type="paragraph" w:styleId="CommentText">
    <w:name w:val="annotation text"/>
    <w:basedOn w:val="Normal"/>
    <w:link w:val="CommentTextChar"/>
    <w:uiPriority w:val="99"/>
    <w:semiHidden/>
    <w:rsid w:val="008922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225A"/>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9225A"/>
    <w:rPr>
      <w:b/>
      <w:bCs/>
    </w:rPr>
  </w:style>
  <w:style w:type="character" w:customStyle="1" w:styleId="CommentSubjectChar">
    <w:name w:val="Comment Subject Char"/>
    <w:basedOn w:val="CommentTextChar"/>
    <w:link w:val="CommentSubject"/>
    <w:uiPriority w:val="99"/>
    <w:semiHidden/>
    <w:locked/>
    <w:rsid w:val="0089225A"/>
    <w:rPr>
      <w:rFonts w:ascii="Calibri" w:hAnsi="Calibri" w:cs="Calibri"/>
      <w:b/>
      <w:bCs/>
      <w:sz w:val="20"/>
      <w:szCs w:val="20"/>
    </w:rPr>
  </w:style>
  <w:style w:type="paragraph" w:styleId="TOC2">
    <w:name w:val="toc 2"/>
    <w:basedOn w:val="Normal"/>
    <w:next w:val="Normal"/>
    <w:autoRedefine/>
    <w:uiPriority w:val="99"/>
    <w:rsid w:val="00D82689"/>
    <w:pPr>
      <w:spacing w:after="100"/>
      <w:ind w:left="220"/>
    </w:pPr>
    <w:rPr>
      <w:rFonts w:eastAsia="Times New Roman" w:cs="Times New Roman"/>
    </w:rPr>
  </w:style>
  <w:style w:type="character" w:styleId="PageNumber">
    <w:name w:val="page number"/>
    <w:basedOn w:val="DefaultParagraphFont"/>
    <w:uiPriority w:val="99"/>
    <w:rsid w:val="00605695"/>
    <w:rPr>
      <w:rFonts w:cs="Times New Roman"/>
    </w:rPr>
  </w:style>
  <w:style w:type="character" w:customStyle="1" w:styleId="Heading2Char">
    <w:name w:val="Heading 2 Char"/>
    <w:basedOn w:val="DefaultParagraphFont"/>
    <w:link w:val="Heading2"/>
    <w:uiPriority w:val="9"/>
    <w:rsid w:val="00BC004B"/>
    <w:rPr>
      <w:rFonts w:ascii="Times New Roman" w:eastAsia="Times New Roman" w:hAnsi="Times New Roman"/>
      <w:b/>
      <w:bCs/>
      <w:sz w:val="36"/>
      <w:szCs w:val="36"/>
    </w:rPr>
  </w:style>
  <w:style w:type="character" w:customStyle="1" w:styleId="apple-converted-space">
    <w:name w:val="apple-converted-space"/>
    <w:basedOn w:val="DefaultParagraphFont"/>
    <w:rsid w:val="00BC004B"/>
  </w:style>
  <w:style w:type="paragraph" w:styleId="Revision">
    <w:name w:val="Revision"/>
    <w:hidden/>
    <w:uiPriority w:val="99"/>
    <w:semiHidden/>
    <w:rsid w:val="003E79B8"/>
    <w:rPr>
      <w:rFonts w:cs="Calibri"/>
      <w:sz w:val="22"/>
      <w:szCs w:val="22"/>
    </w:rPr>
  </w:style>
  <w:style w:type="paragraph" w:customStyle="1" w:styleId="Default">
    <w:name w:val="Default"/>
    <w:rsid w:val="00AA04DC"/>
    <w:pPr>
      <w:widowControl w:val="0"/>
      <w:autoSpaceDE w:val="0"/>
      <w:autoSpaceDN w:val="0"/>
      <w:adjustRightInd w:val="0"/>
    </w:pPr>
    <w:rPr>
      <w:rFonts w:ascii="Tahoma" w:hAnsi="Tahoma" w:cs="Tahoma"/>
      <w:color w:val="000000"/>
      <w:sz w:val="24"/>
      <w:szCs w:val="24"/>
    </w:rPr>
  </w:style>
  <w:style w:type="character" w:customStyle="1" w:styleId="A17">
    <w:name w:val="A17"/>
    <w:uiPriority w:val="99"/>
    <w:rsid w:val="00AA04DC"/>
    <w:rPr>
      <w:rFonts w:cs="Tahoma"/>
      <w:b/>
      <w:bCs/>
      <w:color w:val="000000"/>
      <w:sz w:val="38"/>
      <w:szCs w:val="38"/>
    </w:rPr>
  </w:style>
  <w:style w:type="character" w:customStyle="1" w:styleId="A3">
    <w:name w:val="A3"/>
    <w:uiPriority w:val="99"/>
    <w:rsid w:val="00AA04DC"/>
    <w:rPr>
      <w:rFonts w:cs="Tahoma"/>
      <w:color w:val="000000"/>
      <w:sz w:val="28"/>
      <w:szCs w:val="28"/>
    </w:rPr>
  </w:style>
  <w:style w:type="character" w:customStyle="1" w:styleId="A18">
    <w:name w:val="A18"/>
    <w:uiPriority w:val="99"/>
    <w:rsid w:val="00AA04DC"/>
    <w:rPr>
      <w:rFonts w:cs="Tahoma"/>
      <w:color w:val="000000"/>
      <w:sz w:val="16"/>
      <w:szCs w:val="16"/>
    </w:rPr>
  </w:style>
  <w:style w:type="character" w:customStyle="1" w:styleId="selectable">
    <w:name w:val="selectable"/>
    <w:basedOn w:val="DefaultParagraphFont"/>
    <w:rsid w:val="001D4874"/>
  </w:style>
  <w:style w:type="character" w:styleId="BookTitle">
    <w:name w:val="Book Title"/>
    <w:basedOn w:val="DefaultParagraphFont"/>
    <w:uiPriority w:val="33"/>
    <w:qFormat/>
    <w:rsid w:val="00991D3C"/>
    <w:rPr>
      <w:b/>
      <w:bCs/>
      <w:smallCaps/>
      <w:spacing w:val="5"/>
    </w:rPr>
  </w:style>
  <w:style w:type="character" w:styleId="Emphasis">
    <w:name w:val="Emphasis"/>
    <w:basedOn w:val="DefaultParagraphFont"/>
    <w:qFormat/>
    <w:locked/>
    <w:rsid w:val="007D7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8707">
      <w:bodyDiv w:val="1"/>
      <w:marLeft w:val="0"/>
      <w:marRight w:val="0"/>
      <w:marTop w:val="0"/>
      <w:marBottom w:val="0"/>
      <w:divBdr>
        <w:top w:val="none" w:sz="0" w:space="0" w:color="auto"/>
        <w:left w:val="none" w:sz="0" w:space="0" w:color="auto"/>
        <w:bottom w:val="none" w:sz="0" w:space="0" w:color="auto"/>
        <w:right w:val="none" w:sz="0" w:space="0" w:color="auto"/>
      </w:divBdr>
    </w:div>
    <w:div w:id="195696567">
      <w:bodyDiv w:val="1"/>
      <w:marLeft w:val="0"/>
      <w:marRight w:val="0"/>
      <w:marTop w:val="0"/>
      <w:marBottom w:val="0"/>
      <w:divBdr>
        <w:top w:val="none" w:sz="0" w:space="0" w:color="auto"/>
        <w:left w:val="none" w:sz="0" w:space="0" w:color="auto"/>
        <w:bottom w:val="none" w:sz="0" w:space="0" w:color="auto"/>
        <w:right w:val="none" w:sz="0" w:space="0" w:color="auto"/>
      </w:divBdr>
      <w:divsChild>
        <w:div w:id="1089959985">
          <w:marLeft w:val="0"/>
          <w:marRight w:val="0"/>
          <w:marTop w:val="0"/>
          <w:marBottom w:val="0"/>
          <w:divBdr>
            <w:top w:val="none" w:sz="0" w:space="0" w:color="auto"/>
            <w:left w:val="none" w:sz="0" w:space="0" w:color="auto"/>
            <w:bottom w:val="none" w:sz="0" w:space="0" w:color="auto"/>
            <w:right w:val="none" w:sz="0" w:space="0" w:color="auto"/>
          </w:divBdr>
          <w:divsChild>
            <w:div w:id="598491396">
              <w:marLeft w:val="0"/>
              <w:marRight w:val="0"/>
              <w:marTop w:val="0"/>
              <w:marBottom w:val="0"/>
              <w:divBdr>
                <w:top w:val="none" w:sz="0" w:space="0" w:color="auto"/>
                <w:left w:val="none" w:sz="0" w:space="0" w:color="auto"/>
                <w:bottom w:val="none" w:sz="0" w:space="0" w:color="auto"/>
                <w:right w:val="none" w:sz="0" w:space="0" w:color="auto"/>
              </w:divBdr>
              <w:divsChild>
                <w:div w:id="1581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5753">
      <w:bodyDiv w:val="1"/>
      <w:marLeft w:val="0"/>
      <w:marRight w:val="0"/>
      <w:marTop w:val="0"/>
      <w:marBottom w:val="0"/>
      <w:divBdr>
        <w:top w:val="none" w:sz="0" w:space="0" w:color="auto"/>
        <w:left w:val="none" w:sz="0" w:space="0" w:color="auto"/>
        <w:bottom w:val="none" w:sz="0" w:space="0" w:color="auto"/>
        <w:right w:val="none" w:sz="0" w:space="0" w:color="auto"/>
      </w:divBdr>
      <w:divsChild>
        <w:div w:id="138036359">
          <w:marLeft w:val="0"/>
          <w:marRight w:val="0"/>
          <w:marTop w:val="0"/>
          <w:marBottom w:val="0"/>
          <w:divBdr>
            <w:top w:val="none" w:sz="0" w:space="0" w:color="auto"/>
            <w:left w:val="none" w:sz="0" w:space="0" w:color="auto"/>
            <w:bottom w:val="none" w:sz="0" w:space="0" w:color="auto"/>
            <w:right w:val="none" w:sz="0" w:space="0" w:color="auto"/>
          </w:divBdr>
          <w:divsChild>
            <w:div w:id="2047634426">
              <w:marLeft w:val="0"/>
              <w:marRight w:val="0"/>
              <w:marTop w:val="0"/>
              <w:marBottom w:val="0"/>
              <w:divBdr>
                <w:top w:val="none" w:sz="0" w:space="0" w:color="auto"/>
                <w:left w:val="none" w:sz="0" w:space="0" w:color="auto"/>
                <w:bottom w:val="none" w:sz="0" w:space="0" w:color="auto"/>
                <w:right w:val="none" w:sz="0" w:space="0" w:color="auto"/>
              </w:divBdr>
              <w:divsChild>
                <w:div w:id="2567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8885">
      <w:bodyDiv w:val="1"/>
      <w:marLeft w:val="0"/>
      <w:marRight w:val="0"/>
      <w:marTop w:val="0"/>
      <w:marBottom w:val="0"/>
      <w:divBdr>
        <w:top w:val="none" w:sz="0" w:space="0" w:color="auto"/>
        <w:left w:val="none" w:sz="0" w:space="0" w:color="auto"/>
        <w:bottom w:val="none" w:sz="0" w:space="0" w:color="auto"/>
        <w:right w:val="none" w:sz="0" w:space="0" w:color="auto"/>
      </w:divBdr>
      <w:divsChild>
        <w:div w:id="2058123543">
          <w:marLeft w:val="0"/>
          <w:marRight w:val="0"/>
          <w:marTop w:val="0"/>
          <w:marBottom w:val="0"/>
          <w:divBdr>
            <w:top w:val="none" w:sz="0" w:space="0" w:color="auto"/>
            <w:left w:val="none" w:sz="0" w:space="0" w:color="auto"/>
            <w:bottom w:val="none" w:sz="0" w:space="0" w:color="auto"/>
            <w:right w:val="none" w:sz="0" w:space="0" w:color="auto"/>
          </w:divBdr>
          <w:divsChild>
            <w:div w:id="1303971900">
              <w:marLeft w:val="0"/>
              <w:marRight w:val="0"/>
              <w:marTop w:val="0"/>
              <w:marBottom w:val="0"/>
              <w:divBdr>
                <w:top w:val="none" w:sz="0" w:space="0" w:color="auto"/>
                <w:left w:val="none" w:sz="0" w:space="0" w:color="auto"/>
                <w:bottom w:val="none" w:sz="0" w:space="0" w:color="auto"/>
                <w:right w:val="none" w:sz="0" w:space="0" w:color="auto"/>
              </w:divBdr>
              <w:divsChild>
                <w:div w:id="2634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200">
      <w:bodyDiv w:val="1"/>
      <w:marLeft w:val="0"/>
      <w:marRight w:val="0"/>
      <w:marTop w:val="0"/>
      <w:marBottom w:val="0"/>
      <w:divBdr>
        <w:top w:val="none" w:sz="0" w:space="0" w:color="auto"/>
        <w:left w:val="none" w:sz="0" w:space="0" w:color="auto"/>
        <w:bottom w:val="none" w:sz="0" w:space="0" w:color="auto"/>
        <w:right w:val="none" w:sz="0" w:space="0" w:color="auto"/>
      </w:divBdr>
      <w:divsChild>
        <w:div w:id="1502500074">
          <w:marLeft w:val="0"/>
          <w:marRight w:val="0"/>
          <w:marTop w:val="0"/>
          <w:marBottom w:val="0"/>
          <w:divBdr>
            <w:top w:val="none" w:sz="0" w:space="0" w:color="auto"/>
            <w:left w:val="none" w:sz="0" w:space="0" w:color="auto"/>
            <w:bottom w:val="none" w:sz="0" w:space="0" w:color="auto"/>
            <w:right w:val="none" w:sz="0" w:space="0" w:color="auto"/>
          </w:divBdr>
          <w:divsChild>
            <w:div w:id="503012871">
              <w:marLeft w:val="0"/>
              <w:marRight w:val="0"/>
              <w:marTop w:val="0"/>
              <w:marBottom w:val="0"/>
              <w:divBdr>
                <w:top w:val="none" w:sz="0" w:space="0" w:color="auto"/>
                <w:left w:val="none" w:sz="0" w:space="0" w:color="auto"/>
                <w:bottom w:val="none" w:sz="0" w:space="0" w:color="auto"/>
                <w:right w:val="none" w:sz="0" w:space="0" w:color="auto"/>
              </w:divBdr>
              <w:divsChild>
                <w:div w:id="11773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014">
      <w:bodyDiv w:val="1"/>
      <w:marLeft w:val="0"/>
      <w:marRight w:val="0"/>
      <w:marTop w:val="0"/>
      <w:marBottom w:val="0"/>
      <w:divBdr>
        <w:top w:val="none" w:sz="0" w:space="0" w:color="auto"/>
        <w:left w:val="none" w:sz="0" w:space="0" w:color="auto"/>
        <w:bottom w:val="none" w:sz="0" w:space="0" w:color="auto"/>
        <w:right w:val="none" w:sz="0" w:space="0" w:color="auto"/>
      </w:divBdr>
    </w:div>
    <w:div w:id="823469039">
      <w:bodyDiv w:val="1"/>
      <w:marLeft w:val="0"/>
      <w:marRight w:val="0"/>
      <w:marTop w:val="0"/>
      <w:marBottom w:val="0"/>
      <w:divBdr>
        <w:top w:val="none" w:sz="0" w:space="0" w:color="auto"/>
        <w:left w:val="none" w:sz="0" w:space="0" w:color="auto"/>
        <w:bottom w:val="none" w:sz="0" w:space="0" w:color="auto"/>
        <w:right w:val="none" w:sz="0" w:space="0" w:color="auto"/>
      </w:divBdr>
    </w:div>
    <w:div w:id="874466564">
      <w:bodyDiv w:val="1"/>
      <w:marLeft w:val="0"/>
      <w:marRight w:val="0"/>
      <w:marTop w:val="0"/>
      <w:marBottom w:val="0"/>
      <w:divBdr>
        <w:top w:val="none" w:sz="0" w:space="0" w:color="auto"/>
        <w:left w:val="none" w:sz="0" w:space="0" w:color="auto"/>
        <w:bottom w:val="none" w:sz="0" w:space="0" w:color="auto"/>
        <w:right w:val="none" w:sz="0" w:space="0" w:color="auto"/>
      </w:divBdr>
    </w:div>
    <w:div w:id="958995457">
      <w:bodyDiv w:val="1"/>
      <w:marLeft w:val="0"/>
      <w:marRight w:val="0"/>
      <w:marTop w:val="0"/>
      <w:marBottom w:val="0"/>
      <w:divBdr>
        <w:top w:val="none" w:sz="0" w:space="0" w:color="auto"/>
        <w:left w:val="none" w:sz="0" w:space="0" w:color="auto"/>
        <w:bottom w:val="none" w:sz="0" w:space="0" w:color="auto"/>
        <w:right w:val="none" w:sz="0" w:space="0" w:color="auto"/>
      </w:divBdr>
      <w:divsChild>
        <w:div w:id="1782914211">
          <w:marLeft w:val="0"/>
          <w:marRight w:val="0"/>
          <w:marTop w:val="0"/>
          <w:marBottom w:val="0"/>
          <w:divBdr>
            <w:top w:val="none" w:sz="0" w:space="0" w:color="auto"/>
            <w:left w:val="none" w:sz="0" w:space="0" w:color="auto"/>
            <w:bottom w:val="none" w:sz="0" w:space="0" w:color="auto"/>
            <w:right w:val="none" w:sz="0" w:space="0" w:color="auto"/>
          </w:divBdr>
          <w:divsChild>
            <w:div w:id="492068286">
              <w:marLeft w:val="0"/>
              <w:marRight w:val="0"/>
              <w:marTop w:val="0"/>
              <w:marBottom w:val="0"/>
              <w:divBdr>
                <w:top w:val="none" w:sz="0" w:space="0" w:color="auto"/>
                <w:left w:val="none" w:sz="0" w:space="0" w:color="auto"/>
                <w:bottom w:val="none" w:sz="0" w:space="0" w:color="auto"/>
                <w:right w:val="none" w:sz="0" w:space="0" w:color="auto"/>
              </w:divBdr>
              <w:divsChild>
                <w:div w:id="4320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008">
      <w:bodyDiv w:val="1"/>
      <w:marLeft w:val="0"/>
      <w:marRight w:val="0"/>
      <w:marTop w:val="0"/>
      <w:marBottom w:val="0"/>
      <w:divBdr>
        <w:top w:val="none" w:sz="0" w:space="0" w:color="auto"/>
        <w:left w:val="none" w:sz="0" w:space="0" w:color="auto"/>
        <w:bottom w:val="none" w:sz="0" w:space="0" w:color="auto"/>
        <w:right w:val="none" w:sz="0" w:space="0" w:color="auto"/>
      </w:divBdr>
      <w:divsChild>
        <w:div w:id="1462531706">
          <w:marLeft w:val="0"/>
          <w:marRight w:val="0"/>
          <w:marTop w:val="0"/>
          <w:marBottom w:val="0"/>
          <w:divBdr>
            <w:top w:val="none" w:sz="0" w:space="0" w:color="auto"/>
            <w:left w:val="none" w:sz="0" w:space="0" w:color="auto"/>
            <w:bottom w:val="none" w:sz="0" w:space="0" w:color="auto"/>
            <w:right w:val="none" w:sz="0" w:space="0" w:color="auto"/>
          </w:divBdr>
          <w:divsChild>
            <w:div w:id="251280230">
              <w:marLeft w:val="0"/>
              <w:marRight w:val="0"/>
              <w:marTop w:val="0"/>
              <w:marBottom w:val="0"/>
              <w:divBdr>
                <w:top w:val="none" w:sz="0" w:space="0" w:color="auto"/>
                <w:left w:val="none" w:sz="0" w:space="0" w:color="auto"/>
                <w:bottom w:val="none" w:sz="0" w:space="0" w:color="auto"/>
                <w:right w:val="none" w:sz="0" w:space="0" w:color="auto"/>
              </w:divBdr>
              <w:divsChild>
                <w:div w:id="1120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9572">
      <w:marLeft w:val="0"/>
      <w:marRight w:val="0"/>
      <w:marTop w:val="0"/>
      <w:marBottom w:val="0"/>
      <w:divBdr>
        <w:top w:val="none" w:sz="0" w:space="0" w:color="auto"/>
        <w:left w:val="none" w:sz="0" w:space="0" w:color="auto"/>
        <w:bottom w:val="none" w:sz="0" w:space="0" w:color="auto"/>
        <w:right w:val="none" w:sz="0" w:space="0" w:color="auto"/>
      </w:divBdr>
    </w:div>
    <w:div w:id="1224369573">
      <w:marLeft w:val="0"/>
      <w:marRight w:val="0"/>
      <w:marTop w:val="0"/>
      <w:marBottom w:val="0"/>
      <w:divBdr>
        <w:top w:val="none" w:sz="0" w:space="0" w:color="auto"/>
        <w:left w:val="none" w:sz="0" w:space="0" w:color="auto"/>
        <w:bottom w:val="none" w:sz="0" w:space="0" w:color="auto"/>
        <w:right w:val="none" w:sz="0" w:space="0" w:color="auto"/>
      </w:divBdr>
    </w:div>
    <w:div w:id="1232542590">
      <w:bodyDiv w:val="1"/>
      <w:marLeft w:val="0"/>
      <w:marRight w:val="0"/>
      <w:marTop w:val="0"/>
      <w:marBottom w:val="0"/>
      <w:divBdr>
        <w:top w:val="none" w:sz="0" w:space="0" w:color="auto"/>
        <w:left w:val="none" w:sz="0" w:space="0" w:color="auto"/>
        <w:bottom w:val="none" w:sz="0" w:space="0" w:color="auto"/>
        <w:right w:val="none" w:sz="0" w:space="0" w:color="auto"/>
      </w:divBdr>
    </w:div>
    <w:div w:id="1291588357">
      <w:bodyDiv w:val="1"/>
      <w:marLeft w:val="0"/>
      <w:marRight w:val="0"/>
      <w:marTop w:val="0"/>
      <w:marBottom w:val="0"/>
      <w:divBdr>
        <w:top w:val="none" w:sz="0" w:space="0" w:color="auto"/>
        <w:left w:val="none" w:sz="0" w:space="0" w:color="auto"/>
        <w:bottom w:val="none" w:sz="0" w:space="0" w:color="auto"/>
        <w:right w:val="none" w:sz="0" w:space="0" w:color="auto"/>
      </w:divBdr>
      <w:divsChild>
        <w:div w:id="1775057846">
          <w:marLeft w:val="0"/>
          <w:marRight w:val="0"/>
          <w:marTop w:val="0"/>
          <w:marBottom w:val="0"/>
          <w:divBdr>
            <w:top w:val="none" w:sz="0" w:space="0" w:color="auto"/>
            <w:left w:val="none" w:sz="0" w:space="0" w:color="auto"/>
            <w:bottom w:val="none" w:sz="0" w:space="0" w:color="auto"/>
            <w:right w:val="none" w:sz="0" w:space="0" w:color="auto"/>
          </w:divBdr>
          <w:divsChild>
            <w:div w:id="1246107362">
              <w:marLeft w:val="0"/>
              <w:marRight w:val="0"/>
              <w:marTop w:val="0"/>
              <w:marBottom w:val="0"/>
              <w:divBdr>
                <w:top w:val="none" w:sz="0" w:space="0" w:color="auto"/>
                <w:left w:val="none" w:sz="0" w:space="0" w:color="auto"/>
                <w:bottom w:val="none" w:sz="0" w:space="0" w:color="auto"/>
                <w:right w:val="none" w:sz="0" w:space="0" w:color="auto"/>
              </w:divBdr>
              <w:divsChild>
                <w:div w:id="772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4014185">
          <w:marLeft w:val="0"/>
          <w:marRight w:val="0"/>
          <w:marTop w:val="0"/>
          <w:marBottom w:val="0"/>
          <w:divBdr>
            <w:top w:val="none" w:sz="0" w:space="0" w:color="auto"/>
            <w:left w:val="none" w:sz="0" w:space="0" w:color="auto"/>
            <w:bottom w:val="none" w:sz="0" w:space="0" w:color="auto"/>
            <w:right w:val="none" w:sz="0" w:space="0" w:color="auto"/>
          </w:divBdr>
          <w:divsChild>
            <w:div w:id="2109226434">
              <w:marLeft w:val="0"/>
              <w:marRight w:val="0"/>
              <w:marTop w:val="0"/>
              <w:marBottom w:val="0"/>
              <w:divBdr>
                <w:top w:val="none" w:sz="0" w:space="0" w:color="auto"/>
                <w:left w:val="none" w:sz="0" w:space="0" w:color="auto"/>
                <w:bottom w:val="none" w:sz="0" w:space="0" w:color="auto"/>
                <w:right w:val="none" w:sz="0" w:space="0" w:color="auto"/>
              </w:divBdr>
              <w:divsChild>
                <w:div w:id="18166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865">
      <w:bodyDiv w:val="1"/>
      <w:marLeft w:val="0"/>
      <w:marRight w:val="0"/>
      <w:marTop w:val="0"/>
      <w:marBottom w:val="0"/>
      <w:divBdr>
        <w:top w:val="none" w:sz="0" w:space="0" w:color="auto"/>
        <w:left w:val="none" w:sz="0" w:space="0" w:color="auto"/>
        <w:bottom w:val="none" w:sz="0" w:space="0" w:color="auto"/>
        <w:right w:val="none" w:sz="0" w:space="0" w:color="auto"/>
      </w:divBdr>
    </w:div>
    <w:div w:id="1381591156">
      <w:bodyDiv w:val="1"/>
      <w:marLeft w:val="0"/>
      <w:marRight w:val="0"/>
      <w:marTop w:val="0"/>
      <w:marBottom w:val="0"/>
      <w:divBdr>
        <w:top w:val="none" w:sz="0" w:space="0" w:color="auto"/>
        <w:left w:val="none" w:sz="0" w:space="0" w:color="auto"/>
        <w:bottom w:val="none" w:sz="0" w:space="0" w:color="auto"/>
        <w:right w:val="none" w:sz="0" w:space="0" w:color="auto"/>
      </w:divBdr>
      <w:divsChild>
        <w:div w:id="419060721">
          <w:marLeft w:val="0"/>
          <w:marRight w:val="0"/>
          <w:marTop w:val="0"/>
          <w:marBottom w:val="0"/>
          <w:divBdr>
            <w:top w:val="none" w:sz="0" w:space="0" w:color="auto"/>
            <w:left w:val="none" w:sz="0" w:space="0" w:color="auto"/>
            <w:bottom w:val="none" w:sz="0" w:space="0" w:color="auto"/>
            <w:right w:val="none" w:sz="0" w:space="0" w:color="auto"/>
          </w:divBdr>
          <w:divsChild>
            <w:div w:id="459810319">
              <w:marLeft w:val="0"/>
              <w:marRight w:val="0"/>
              <w:marTop w:val="0"/>
              <w:marBottom w:val="0"/>
              <w:divBdr>
                <w:top w:val="none" w:sz="0" w:space="0" w:color="auto"/>
                <w:left w:val="none" w:sz="0" w:space="0" w:color="auto"/>
                <w:bottom w:val="none" w:sz="0" w:space="0" w:color="auto"/>
                <w:right w:val="none" w:sz="0" w:space="0" w:color="auto"/>
              </w:divBdr>
              <w:divsChild>
                <w:div w:id="1509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6869">
      <w:bodyDiv w:val="1"/>
      <w:marLeft w:val="0"/>
      <w:marRight w:val="0"/>
      <w:marTop w:val="0"/>
      <w:marBottom w:val="0"/>
      <w:divBdr>
        <w:top w:val="none" w:sz="0" w:space="0" w:color="auto"/>
        <w:left w:val="none" w:sz="0" w:space="0" w:color="auto"/>
        <w:bottom w:val="none" w:sz="0" w:space="0" w:color="auto"/>
        <w:right w:val="none" w:sz="0" w:space="0" w:color="auto"/>
      </w:divBdr>
    </w:div>
    <w:div w:id="1526675832">
      <w:bodyDiv w:val="1"/>
      <w:marLeft w:val="0"/>
      <w:marRight w:val="0"/>
      <w:marTop w:val="0"/>
      <w:marBottom w:val="0"/>
      <w:divBdr>
        <w:top w:val="none" w:sz="0" w:space="0" w:color="auto"/>
        <w:left w:val="none" w:sz="0" w:space="0" w:color="auto"/>
        <w:bottom w:val="none" w:sz="0" w:space="0" w:color="auto"/>
        <w:right w:val="none" w:sz="0" w:space="0" w:color="auto"/>
      </w:divBdr>
    </w:div>
    <w:div w:id="1586184524">
      <w:bodyDiv w:val="1"/>
      <w:marLeft w:val="0"/>
      <w:marRight w:val="0"/>
      <w:marTop w:val="0"/>
      <w:marBottom w:val="0"/>
      <w:divBdr>
        <w:top w:val="none" w:sz="0" w:space="0" w:color="auto"/>
        <w:left w:val="none" w:sz="0" w:space="0" w:color="auto"/>
        <w:bottom w:val="none" w:sz="0" w:space="0" w:color="auto"/>
        <w:right w:val="none" w:sz="0" w:space="0" w:color="auto"/>
      </w:divBdr>
    </w:div>
    <w:div w:id="1612737017">
      <w:bodyDiv w:val="1"/>
      <w:marLeft w:val="0"/>
      <w:marRight w:val="0"/>
      <w:marTop w:val="0"/>
      <w:marBottom w:val="0"/>
      <w:divBdr>
        <w:top w:val="none" w:sz="0" w:space="0" w:color="auto"/>
        <w:left w:val="none" w:sz="0" w:space="0" w:color="auto"/>
        <w:bottom w:val="none" w:sz="0" w:space="0" w:color="auto"/>
        <w:right w:val="none" w:sz="0" w:space="0" w:color="auto"/>
      </w:divBdr>
      <w:divsChild>
        <w:div w:id="670107294">
          <w:marLeft w:val="0"/>
          <w:marRight w:val="0"/>
          <w:marTop w:val="0"/>
          <w:marBottom w:val="0"/>
          <w:divBdr>
            <w:top w:val="none" w:sz="0" w:space="0" w:color="auto"/>
            <w:left w:val="none" w:sz="0" w:space="0" w:color="auto"/>
            <w:bottom w:val="none" w:sz="0" w:space="0" w:color="auto"/>
            <w:right w:val="none" w:sz="0" w:space="0" w:color="auto"/>
          </w:divBdr>
          <w:divsChild>
            <w:div w:id="2121492405">
              <w:marLeft w:val="0"/>
              <w:marRight w:val="0"/>
              <w:marTop w:val="0"/>
              <w:marBottom w:val="0"/>
              <w:divBdr>
                <w:top w:val="none" w:sz="0" w:space="0" w:color="auto"/>
                <w:left w:val="none" w:sz="0" w:space="0" w:color="auto"/>
                <w:bottom w:val="none" w:sz="0" w:space="0" w:color="auto"/>
                <w:right w:val="none" w:sz="0" w:space="0" w:color="auto"/>
              </w:divBdr>
              <w:divsChild>
                <w:div w:id="17076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5878">
      <w:bodyDiv w:val="1"/>
      <w:marLeft w:val="0"/>
      <w:marRight w:val="0"/>
      <w:marTop w:val="0"/>
      <w:marBottom w:val="0"/>
      <w:divBdr>
        <w:top w:val="none" w:sz="0" w:space="0" w:color="auto"/>
        <w:left w:val="none" w:sz="0" w:space="0" w:color="auto"/>
        <w:bottom w:val="none" w:sz="0" w:space="0" w:color="auto"/>
        <w:right w:val="none" w:sz="0" w:space="0" w:color="auto"/>
      </w:divBdr>
      <w:divsChild>
        <w:div w:id="110051545">
          <w:marLeft w:val="0"/>
          <w:marRight w:val="0"/>
          <w:marTop w:val="0"/>
          <w:marBottom w:val="0"/>
          <w:divBdr>
            <w:top w:val="none" w:sz="0" w:space="0" w:color="auto"/>
            <w:left w:val="none" w:sz="0" w:space="0" w:color="auto"/>
            <w:bottom w:val="none" w:sz="0" w:space="0" w:color="auto"/>
            <w:right w:val="none" w:sz="0" w:space="0" w:color="auto"/>
          </w:divBdr>
          <w:divsChild>
            <w:div w:id="534195136">
              <w:marLeft w:val="0"/>
              <w:marRight w:val="0"/>
              <w:marTop w:val="0"/>
              <w:marBottom w:val="0"/>
              <w:divBdr>
                <w:top w:val="none" w:sz="0" w:space="0" w:color="auto"/>
                <w:left w:val="none" w:sz="0" w:space="0" w:color="auto"/>
                <w:bottom w:val="none" w:sz="0" w:space="0" w:color="auto"/>
                <w:right w:val="none" w:sz="0" w:space="0" w:color="auto"/>
              </w:divBdr>
              <w:divsChild>
                <w:div w:id="15323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139">
      <w:bodyDiv w:val="1"/>
      <w:marLeft w:val="0"/>
      <w:marRight w:val="0"/>
      <w:marTop w:val="0"/>
      <w:marBottom w:val="0"/>
      <w:divBdr>
        <w:top w:val="none" w:sz="0" w:space="0" w:color="auto"/>
        <w:left w:val="none" w:sz="0" w:space="0" w:color="auto"/>
        <w:bottom w:val="none" w:sz="0" w:space="0" w:color="auto"/>
        <w:right w:val="none" w:sz="0" w:space="0" w:color="auto"/>
      </w:divBdr>
    </w:div>
    <w:div w:id="1816948426">
      <w:bodyDiv w:val="1"/>
      <w:marLeft w:val="0"/>
      <w:marRight w:val="0"/>
      <w:marTop w:val="0"/>
      <w:marBottom w:val="0"/>
      <w:divBdr>
        <w:top w:val="none" w:sz="0" w:space="0" w:color="auto"/>
        <w:left w:val="none" w:sz="0" w:space="0" w:color="auto"/>
        <w:bottom w:val="none" w:sz="0" w:space="0" w:color="auto"/>
        <w:right w:val="none" w:sz="0" w:space="0" w:color="auto"/>
      </w:divBdr>
      <w:divsChild>
        <w:div w:id="1329676182">
          <w:marLeft w:val="0"/>
          <w:marRight w:val="0"/>
          <w:marTop w:val="0"/>
          <w:marBottom w:val="0"/>
          <w:divBdr>
            <w:top w:val="none" w:sz="0" w:space="0" w:color="auto"/>
            <w:left w:val="none" w:sz="0" w:space="0" w:color="auto"/>
            <w:bottom w:val="none" w:sz="0" w:space="0" w:color="auto"/>
            <w:right w:val="none" w:sz="0" w:space="0" w:color="auto"/>
          </w:divBdr>
          <w:divsChild>
            <w:div w:id="1576544931">
              <w:marLeft w:val="0"/>
              <w:marRight w:val="0"/>
              <w:marTop w:val="0"/>
              <w:marBottom w:val="0"/>
              <w:divBdr>
                <w:top w:val="none" w:sz="0" w:space="0" w:color="auto"/>
                <w:left w:val="none" w:sz="0" w:space="0" w:color="auto"/>
                <w:bottom w:val="none" w:sz="0" w:space="0" w:color="auto"/>
                <w:right w:val="none" w:sz="0" w:space="0" w:color="auto"/>
              </w:divBdr>
              <w:divsChild>
                <w:div w:id="385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7186">
      <w:bodyDiv w:val="1"/>
      <w:marLeft w:val="0"/>
      <w:marRight w:val="0"/>
      <w:marTop w:val="0"/>
      <w:marBottom w:val="0"/>
      <w:divBdr>
        <w:top w:val="none" w:sz="0" w:space="0" w:color="auto"/>
        <w:left w:val="none" w:sz="0" w:space="0" w:color="auto"/>
        <w:bottom w:val="none" w:sz="0" w:space="0" w:color="auto"/>
        <w:right w:val="none" w:sz="0" w:space="0" w:color="auto"/>
      </w:divBdr>
      <w:divsChild>
        <w:div w:id="1368218406">
          <w:marLeft w:val="0"/>
          <w:marRight w:val="0"/>
          <w:marTop w:val="0"/>
          <w:marBottom w:val="0"/>
          <w:divBdr>
            <w:top w:val="none" w:sz="0" w:space="0" w:color="auto"/>
            <w:left w:val="none" w:sz="0" w:space="0" w:color="auto"/>
            <w:bottom w:val="none" w:sz="0" w:space="0" w:color="auto"/>
            <w:right w:val="none" w:sz="0" w:space="0" w:color="auto"/>
          </w:divBdr>
          <w:divsChild>
            <w:div w:id="1535312628">
              <w:marLeft w:val="0"/>
              <w:marRight w:val="0"/>
              <w:marTop w:val="0"/>
              <w:marBottom w:val="0"/>
              <w:divBdr>
                <w:top w:val="none" w:sz="0" w:space="0" w:color="auto"/>
                <w:left w:val="none" w:sz="0" w:space="0" w:color="auto"/>
                <w:bottom w:val="none" w:sz="0" w:space="0" w:color="auto"/>
                <w:right w:val="none" w:sz="0" w:space="0" w:color="auto"/>
              </w:divBdr>
              <w:divsChild>
                <w:div w:id="12375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42522">
      <w:bodyDiv w:val="1"/>
      <w:marLeft w:val="0"/>
      <w:marRight w:val="0"/>
      <w:marTop w:val="0"/>
      <w:marBottom w:val="0"/>
      <w:divBdr>
        <w:top w:val="none" w:sz="0" w:space="0" w:color="auto"/>
        <w:left w:val="none" w:sz="0" w:space="0" w:color="auto"/>
        <w:bottom w:val="none" w:sz="0" w:space="0" w:color="auto"/>
        <w:right w:val="none" w:sz="0" w:space="0" w:color="auto"/>
      </w:divBdr>
      <w:divsChild>
        <w:div w:id="536048020">
          <w:marLeft w:val="0"/>
          <w:marRight w:val="0"/>
          <w:marTop w:val="0"/>
          <w:marBottom w:val="0"/>
          <w:divBdr>
            <w:top w:val="none" w:sz="0" w:space="0" w:color="auto"/>
            <w:left w:val="none" w:sz="0" w:space="0" w:color="auto"/>
            <w:bottom w:val="none" w:sz="0" w:space="0" w:color="auto"/>
            <w:right w:val="none" w:sz="0" w:space="0" w:color="auto"/>
          </w:divBdr>
          <w:divsChild>
            <w:div w:id="1137914904">
              <w:marLeft w:val="0"/>
              <w:marRight w:val="0"/>
              <w:marTop w:val="0"/>
              <w:marBottom w:val="0"/>
              <w:divBdr>
                <w:top w:val="none" w:sz="0" w:space="0" w:color="auto"/>
                <w:left w:val="none" w:sz="0" w:space="0" w:color="auto"/>
                <w:bottom w:val="none" w:sz="0" w:space="0" w:color="auto"/>
                <w:right w:val="none" w:sz="0" w:space="0" w:color="auto"/>
              </w:divBdr>
              <w:divsChild>
                <w:div w:id="813571966">
                  <w:marLeft w:val="0"/>
                  <w:marRight w:val="0"/>
                  <w:marTop w:val="0"/>
                  <w:marBottom w:val="0"/>
                  <w:divBdr>
                    <w:top w:val="none" w:sz="0" w:space="0" w:color="auto"/>
                    <w:left w:val="none" w:sz="0" w:space="0" w:color="auto"/>
                    <w:bottom w:val="none" w:sz="0" w:space="0" w:color="auto"/>
                    <w:right w:val="none" w:sz="0" w:space="0" w:color="auto"/>
                  </w:divBdr>
                </w:div>
              </w:divsChild>
            </w:div>
            <w:div w:id="2103144930">
              <w:marLeft w:val="0"/>
              <w:marRight w:val="0"/>
              <w:marTop w:val="0"/>
              <w:marBottom w:val="0"/>
              <w:divBdr>
                <w:top w:val="none" w:sz="0" w:space="0" w:color="auto"/>
                <w:left w:val="none" w:sz="0" w:space="0" w:color="auto"/>
                <w:bottom w:val="none" w:sz="0" w:space="0" w:color="auto"/>
                <w:right w:val="none" w:sz="0" w:space="0" w:color="auto"/>
              </w:divBdr>
              <w:divsChild>
                <w:div w:id="464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179">
      <w:bodyDiv w:val="1"/>
      <w:marLeft w:val="0"/>
      <w:marRight w:val="0"/>
      <w:marTop w:val="0"/>
      <w:marBottom w:val="0"/>
      <w:divBdr>
        <w:top w:val="none" w:sz="0" w:space="0" w:color="auto"/>
        <w:left w:val="none" w:sz="0" w:space="0" w:color="auto"/>
        <w:bottom w:val="none" w:sz="0" w:space="0" w:color="auto"/>
        <w:right w:val="none" w:sz="0" w:space="0" w:color="auto"/>
      </w:divBdr>
    </w:div>
    <w:div w:id="2118324808">
      <w:bodyDiv w:val="1"/>
      <w:marLeft w:val="0"/>
      <w:marRight w:val="0"/>
      <w:marTop w:val="0"/>
      <w:marBottom w:val="0"/>
      <w:divBdr>
        <w:top w:val="none" w:sz="0" w:space="0" w:color="auto"/>
        <w:left w:val="none" w:sz="0" w:space="0" w:color="auto"/>
        <w:bottom w:val="none" w:sz="0" w:space="0" w:color="auto"/>
        <w:right w:val="none" w:sz="0" w:space="0" w:color="auto"/>
      </w:divBdr>
      <w:divsChild>
        <w:div w:id="1144279819">
          <w:marLeft w:val="0"/>
          <w:marRight w:val="0"/>
          <w:marTop w:val="0"/>
          <w:marBottom w:val="0"/>
          <w:divBdr>
            <w:top w:val="none" w:sz="0" w:space="0" w:color="auto"/>
            <w:left w:val="none" w:sz="0" w:space="0" w:color="auto"/>
            <w:bottom w:val="none" w:sz="0" w:space="0" w:color="auto"/>
            <w:right w:val="none" w:sz="0" w:space="0" w:color="auto"/>
          </w:divBdr>
          <w:divsChild>
            <w:div w:id="412943665">
              <w:marLeft w:val="0"/>
              <w:marRight w:val="0"/>
              <w:marTop w:val="0"/>
              <w:marBottom w:val="0"/>
              <w:divBdr>
                <w:top w:val="none" w:sz="0" w:space="0" w:color="auto"/>
                <w:left w:val="none" w:sz="0" w:space="0" w:color="auto"/>
                <w:bottom w:val="none" w:sz="0" w:space="0" w:color="auto"/>
                <w:right w:val="none" w:sz="0" w:space="0" w:color="auto"/>
              </w:divBdr>
              <w:divsChild>
                <w:div w:id="6406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lawton@yale.edu" TargetMode="External"/><Relationship Id="rId18" Type="http://schemas.openxmlformats.org/officeDocument/2006/relationships/hyperlink" Target="http://www.americanbar.org/groups/legal_aid_indigent_defendants/initiatives/resource_center_for_access_to_justice/state_atj_commission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ohanna.kalb@yale.edu" TargetMode="External"/><Relationship Id="rId17" Type="http://schemas.openxmlformats.org/officeDocument/2006/relationships/hyperlink" Target="http://www.law360.com/articles/441776/ny-the-likely-loser-as-strike-pits-lawyer-against-lawyer" TargetMode="External"/><Relationship Id="rId2" Type="http://schemas.openxmlformats.org/officeDocument/2006/relationships/customXml" Target="../customXml/item2.xml"/><Relationship Id="rId16" Type="http://schemas.openxmlformats.org/officeDocument/2006/relationships/hyperlink" Target="http://www.judicialhellholes.org/wpcontent/uploads/2013/12/JudicialHellholes-201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th.resnik@yale.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nstituteforlegalreform.com/issues/lawsuit-abuse-impa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ccesstojustice.net/2014/04/04/progress-in-three-states-on-non-lawyer-access-innov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United_States_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rtOrder xmlns="7008e699-3d67-4cba-9a3c-a08532eaaf09">0</DocumentSortOrder>
    <HideItem xmlns="7008e699-3d67-4cba-9a3c-a08532eaaf09">false</HideItem>
    <ExpirationDate xmlns="7008e699-3d67-4cba-9a3c-a08532eaaf09" xsi:nil="true"/>
    <DocumentDescription xmlns="7008e699-3d67-4cba-9a3c-a08532eaaf09" xsi:nil="true"/>
    <CourseMaterialsCategory xmlns="7008e699-3d67-4cba-9a3c-a08532eaaf09">
      <Value>Course Information</Value>
    </CourseMaterialsCategory>
    <DisplayOnDate1 xmlns="7008e699-3d67-4cba-9a3c-a08532eaaf09">2015-01-22T05:00:00+00:00</DisplayOnDat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Materials Document" ma:contentTypeID="0x01010014B68981388B494F98109620DAF784DB0019FF429FC7DDDF4298D7D854B0B68AB7" ma:contentTypeVersion="0" ma:contentTypeDescription="" ma:contentTypeScope="" ma:versionID="c080969cf597e57f868a29303d864b1d">
  <xsd:schema xmlns:xsd="http://www.w3.org/2001/XMLSchema" xmlns:xs="http://www.w3.org/2001/XMLSchema" xmlns:p="http://schemas.microsoft.com/office/2006/metadata/properties" xmlns:ns2="7008e699-3d67-4cba-9a3c-a08532eaaf09" targetNamespace="http://schemas.microsoft.com/office/2006/metadata/properties" ma:root="true" ma:fieldsID="d6d2564b398c6e51e8bec1ed7837a49a" ns2:_="">
    <xsd:import namespace="7008e699-3d67-4cba-9a3c-a08532eaaf09"/>
    <xsd:element name="properties">
      <xsd:complexType>
        <xsd:sequence>
          <xsd:element name="documentManagement">
            <xsd:complexType>
              <xsd:all>
                <xsd:element ref="ns2:DocumentDescription" minOccurs="0"/>
                <xsd:element ref="ns2:CourseMaterialsCategory" minOccurs="0"/>
                <xsd:element ref="ns2:DocumentSortOrder" minOccurs="0"/>
                <xsd:element ref="ns2:DisplayOnDate1"/>
                <xsd:element ref="ns2:ExpirationDate" minOccurs="0"/>
                <xsd:element ref="ns2:Hide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8e699-3d67-4cba-9a3c-a08532eaaf09" elementFormDefault="qualified">
    <xsd:import namespace="http://schemas.microsoft.com/office/2006/documentManagement/types"/>
    <xsd:import namespace="http://schemas.microsoft.com/office/infopath/2007/PartnerControls"/>
    <xsd:element name="DocumentDescription" ma:index="5" nillable="true" ma:displayName="Description" ma:description="Use this field to add a description if necessary.  Please keep descriptions as short and concise as possible." ma:internalName="DocumentDescription" ma:readOnly="false">
      <xsd:simpleType>
        <xsd:restriction base="dms:Note"/>
      </xsd:simpleType>
    </xsd:element>
    <xsd:element name="CourseMaterialsCategory" ma:index="6" nillable="true" ma:displayName="Category" ma:internalName="CourseMaterialsCategory" ma:readOnly="false">
      <xsd:complexType>
        <xsd:complexContent>
          <xsd:extension base="dms:MultiChoiceFillIn">
            <xsd:sequence>
              <xsd:element name="Value" maxOccurs="unbounded" minOccurs="0" nillable="true">
                <xsd:simpleType>
                  <xsd:union memberTypes="dms:Text">
                    <xsd:simpleType>
                      <xsd:restriction base="dms:Choice">
                        <xsd:enumeration value="Course Information"/>
                        <xsd:enumeration value="Readings"/>
                        <xsd:enumeration value="Assignments"/>
                        <xsd:enumeration value="Handouts"/>
                        <xsd:enumeration value="Supplementary Materials"/>
                      </xsd:restriction>
                    </xsd:simpleType>
                  </xsd:union>
                </xsd:simpleType>
              </xsd:element>
            </xsd:sequence>
          </xsd:extension>
        </xsd:complexContent>
      </xsd:complexType>
    </xsd:element>
    <xsd:element name="DocumentSortOrder" ma:index="7" nillable="true" ma:displayName="Sort Order" ma:decimals="0" ma:default="0" ma:description="It is not necessary to edit this column.  Once the item is added, users can auto adjust the sort order for all items in a library or specific folder" ma:hidden="true" ma:internalName="DocumentSortOrder" ma:readOnly="false" ma:percentage="FALSE">
      <xsd:simpleType>
        <xsd:restriction base="dms:Number">
          <xsd:minInclusive value="0"/>
        </xsd:restriction>
      </xsd:simpleType>
    </xsd:element>
    <xsd:element name="DisplayOnDate1" ma:index="8" ma:displayName="Display On Date" ma:default="[today]" ma:description="Use this field to indicate the date items should begin displaying. Items will begin displaying at 12:00AM for the date specified." ma:format="DateOnly" ma:internalName="DisplayOnDate1">
      <xsd:simpleType>
        <xsd:restriction base="dms:DateTime"/>
      </xsd:simpleType>
    </xsd:element>
    <xsd:element name="ExpirationDate" ma:index="9" nillable="true" ma:displayName="Expires" ma:description="Use this field to indicate the date the item should stop displaying. Items will stop displaying at 11:59PM for the date specified." ma:format="DateOnly" ma:internalName="ExpirationDate" ma:readOnly="false">
      <xsd:simpleType>
        <xsd:restriction base="dms:DateTime"/>
      </xsd:simpleType>
    </xsd:element>
    <xsd:element name="HideItem" ma:index="10" nillable="true" ma:displayName="Hide Item" ma:default="0" ma:description="Use this field to prevent an item from displaying regardless of display on or expires date field settings." ma:internalName="HideIte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FDAF-056D-465A-BB10-2808BB050C7E}">
  <ds:schemaRefs>
    <ds:schemaRef ds:uri="http://purl.org/dc/elements/1.1/"/>
    <ds:schemaRef ds:uri="http://schemas.microsoft.com/office/2006/documentManagement/types"/>
    <ds:schemaRef ds:uri="http://schemas.microsoft.com/office/2006/metadata/properties"/>
    <ds:schemaRef ds:uri="http://purl.org/dc/terms/"/>
    <ds:schemaRef ds:uri="7008e699-3d67-4cba-9a3c-a08532eaaf09"/>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B3A429-DF13-47B3-BB85-E29F941CFF52}">
  <ds:schemaRefs>
    <ds:schemaRef ds:uri="http://schemas.microsoft.com/sharepoint/v3/contenttype/forms"/>
  </ds:schemaRefs>
</ds:datastoreItem>
</file>

<file path=customXml/itemProps3.xml><?xml version="1.0" encoding="utf-8"?>
<ds:datastoreItem xmlns:ds="http://schemas.openxmlformats.org/officeDocument/2006/customXml" ds:itemID="{47929FDA-9549-4FAD-9A12-17E4C7B7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8e699-3d67-4cba-9a3c-a08532eaa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01961-6996-4BCC-AA55-274FA9C0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Liman Public Interest Workshop Syllabus</vt:lpstr>
    </vt:vector>
  </TitlesOfParts>
  <Company>Yale University</Company>
  <LinksUpToDate>false</LinksUpToDate>
  <CharactersWithSpaces>24911</CharactersWithSpaces>
  <SharedDoc>false</SharedDoc>
  <HLinks>
    <vt:vector size="6" baseType="variant">
      <vt:variant>
        <vt:i4>1638495</vt:i4>
      </vt:variant>
      <vt:variant>
        <vt:i4>0</vt:i4>
      </vt:variant>
      <vt:variant>
        <vt:i4>0</vt:i4>
      </vt:variant>
      <vt:variant>
        <vt:i4>5</vt:i4>
      </vt:variant>
      <vt:variant>
        <vt:lpwstr>http://www.law.yale.edu/intellectuallife/workshopsyllabus.htm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Liman Public Interest Workshop Syllabus</dc:title>
  <dc:creator>Temp</dc:creator>
  <cp:lastModifiedBy>Krasulova, Katka</cp:lastModifiedBy>
  <cp:revision>15</cp:revision>
  <cp:lastPrinted>2015-01-13T22:00:00Z</cp:lastPrinted>
  <dcterms:created xsi:type="dcterms:W3CDTF">2015-02-12T17:49:00Z</dcterms:created>
  <dcterms:modified xsi:type="dcterms:W3CDTF">2015-03-10T15:38:00Z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0x01010014B68981388B494F98109620DAF784DB0019FF429FC7DDDF4298D7D854B0B68AB7</vt:lpwstr>
  </property>
</Properties>
</file>